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26"/>
        <w:snapToGrid w:val="false"/>
        <w:spacing w:lineRule="atLeast" w:line="400"/>
        <w:jc w:val="center"/>
        <w:rPr/>
      </w:pPr>
      <w:r>
        <w:rPr>
          <w:rStyle w:val="Style5"/>
          <w:rFonts w:ascii="標楷體" w:hAnsi="標楷體" w:eastAsia="標楷體"/>
          <w:b/>
          <w:sz w:val="32"/>
        </w:rPr>
        <w:t>【機關名稱】</w:t>
      </w:r>
    </w:p>
    <w:p>
      <w:pPr>
        <w:pStyle w:val="Style26"/>
        <w:snapToGrid w:val="false"/>
        <w:spacing w:lineRule="atLeast" w:line="400" w:before="0" w:after="180"/>
        <w:jc w:val="center"/>
        <w:rPr/>
      </w:pPr>
      <w:r>
        <w:rPr>
          <w:rStyle w:val="Style5"/>
          <w:rFonts w:ascii="標楷體" w:hAnsi="標楷體" w:cs="Arial" w:eastAsia="標楷體"/>
          <w:b/>
          <w:sz w:val="32"/>
        </w:rPr>
        <w:t>○○</w:t>
      </w:r>
      <w:r>
        <w:rPr>
          <w:rStyle w:val="Style5"/>
          <w:rFonts w:ascii="標楷體" w:hAnsi="標楷體" w:eastAsia="標楷體"/>
          <w:b/>
          <w:sz w:val="32"/>
        </w:rPr>
        <w:t>年度內部控制自行評估計畫</w:t>
      </w:r>
      <w:r>
        <w:rPr>
          <w:rStyle w:val="Style5"/>
          <w:rFonts w:eastAsia="標楷體" w:ascii="標楷體" w:hAnsi="標楷體"/>
          <w:b/>
          <w:sz w:val="32"/>
        </w:rPr>
        <w:t>(</w:t>
      </w:r>
      <w:r>
        <w:rPr>
          <w:rStyle w:val="Style5"/>
          <w:rFonts w:ascii="標楷體" w:hAnsi="標楷體" w:eastAsia="標楷體"/>
          <w:b/>
          <w:sz w:val="32"/>
        </w:rPr>
        <w:t>參考範例</w:t>
      </w:r>
      <w:r>
        <w:rPr>
          <w:rStyle w:val="Style5"/>
          <w:rFonts w:eastAsia="標楷體" w:ascii="標楷體" w:hAnsi="標楷體"/>
          <w:b/>
          <w:sz w:val="32"/>
        </w:rPr>
        <w:t>)</w:t>
      </w:r>
    </w:p>
    <w:p>
      <w:pPr>
        <w:pStyle w:val="Style37"/>
        <w:numPr>
          <w:ilvl w:val="0"/>
          <w:numId w:val="9"/>
        </w:numPr>
        <w:snapToGrid w:val="false"/>
        <w:spacing w:lineRule="atLeast" w:line="300" w:before="180" w:after="0"/>
        <w:ind w:left="602" w:hanging="616"/>
        <w:jc w:val="both"/>
        <w:rPr>
          <w:rFonts w:ascii="標楷體" w:hAnsi="標楷體" w:eastAsia="標楷體"/>
          <w:b/>
          <w:b/>
          <w:sz w:val="28"/>
          <w:szCs w:val="28"/>
        </w:rPr>
      </w:pPr>
      <w:r>
        <w:rPr>
          <w:rFonts w:ascii="標楷體" w:hAnsi="標楷體" w:eastAsia="標楷體"/>
          <w:b/>
          <w:sz w:val="28"/>
          <w:szCs w:val="28"/>
        </w:rPr>
        <w:t>依據</w:t>
      </w:r>
    </w:p>
    <w:p>
      <w:pPr>
        <w:pStyle w:val="Style37"/>
        <w:snapToGrid w:val="false"/>
        <w:spacing w:lineRule="atLeast" w:line="300"/>
        <w:ind w:left="618" w:firstLine="560"/>
        <w:jc w:val="both"/>
        <w:rPr/>
      </w:pPr>
      <w:r>
        <w:rPr>
          <w:rStyle w:val="Style5"/>
          <w:rFonts w:ascii="標楷體" w:hAnsi="標楷體" w:eastAsia="標楷體"/>
          <w:sz w:val="28"/>
          <w:szCs w:val="28"/>
        </w:rPr>
        <w:t>依據「新北市政府內部控制監督作業</w:t>
      </w:r>
      <w:r>
        <w:rPr>
          <w:rStyle w:val="Style5"/>
          <w:rFonts w:ascii="標楷體" w:hAnsi="標楷體" w:eastAsia="標楷體"/>
          <w:sz w:val="28"/>
          <w:szCs w:val="28"/>
          <w:lang w:eastAsia="zh-TW"/>
        </w:rPr>
        <w:t>原則</w:t>
      </w:r>
      <w:r>
        <w:rPr>
          <w:rStyle w:val="Style5"/>
          <w:rFonts w:ascii="標楷體" w:hAnsi="標楷體" w:eastAsia="標楷體"/>
          <w:sz w:val="28"/>
          <w:szCs w:val="28"/>
        </w:rPr>
        <w:t>」規定</w:t>
      </w:r>
      <w:r>
        <w:rPr>
          <w:rStyle w:val="Style5"/>
          <w:rFonts w:ascii="標楷體" w:hAnsi="標楷體" w:eastAsia="標楷體"/>
          <w:sz w:val="28"/>
          <w:szCs w:val="28"/>
          <w:lang w:eastAsia="zh-TW"/>
        </w:rPr>
        <w:t>，各機關每年應至少辦理一次自行評估，且應事先</w:t>
      </w:r>
      <w:r>
        <w:rPr>
          <w:rStyle w:val="Style5"/>
          <w:rFonts w:ascii="標楷體" w:hAnsi="標楷體" w:eastAsia="標楷體"/>
          <w:sz w:val="28"/>
          <w:szCs w:val="28"/>
        </w:rPr>
        <w:t>研擬自行評估計畫</w:t>
      </w:r>
      <w:r>
        <w:rPr>
          <w:rStyle w:val="Style5"/>
          <w:rFonts w:ascii="標楷體" w:hAnsi="標楷體" w:eastAsia="標楷體"/>
          <w:sz w:val="28"/>
          <w:szCs w:val="28"/>
          <w:lang w:eastAsia="zh-TW"/>
        </w:rPr>
        <w:t>並</w:t>
      </w:r>
      <w:r>
        <w:rPr>
          <w:rStyle w:val="Style5"/>
          <w:rFonts w:ascii="標楷體" w:hAnsi="標楷體" w:eastAsia="標楷體"/>
          <w:sz w:val="28"/>
          <w:szCs w:val="28"/>
        </w:rPr>
        <w:t>簽報機關首長核定</w:t>
      </w:r>
      <w:r>
        <w:rPr>
          <w:rStyle w:val="Style5"/>
          <w:rFonts w:ascii="標楷體" w:hAnsi="標楷體" w:eastAsia="標楷體"/>
          <w:sz w:val="28"/>
          <w:szCs w:val="28"/>
          <w:lang w:eastAsia="zh-TW"/>
        </w:rPr>
        <w:t>，為辦理</w:t>
      </w:r>
      <w:r>
        <w:rPr>
          <w:rStyle w:val="Style5"/>
          <w:rFonts w:ascii="標楷體" w:hAnsi="標楷體" w:eastAsia="標楷體"/>
          <w:sz w:val="28"/>
          <w:szCs w:val="28"/>
        </w:rPr>
        <w:t>本機關○○年度內部控制自行評估</w:t>
      </w:r>
      <w:r>
        <w:rPr>
          <w:rStyle w:val="Style5"/>
          <w:rFonts w:ascii="標楷體" w:hAnsi="標楷體" w:eastAsia="標楷體"/>
          <w:sz w:val="28"/>
          <w:szCs w:val="28"/>
          <w:lang w:eastAsia="zh-TW"/>
        </w:rPr>
        <w:t>作業，特訂定本評估計畫</w:t>
      </w:r>
      <w:r>
        <w:rPr>
          <w:rStyle w:val="Style5"/>
          <w:rFonts w:ascii="標楷體" w:hAnsi="標楷體" w:eastAsia="標楷體"/>
          <w:sz w:val="28"/>
          <w:szCs w:val="28"/>
        </w:rPr>
        <w:t>。</w:t>
      </w:r>
    </w:p>
    <w:p>
      <w:pPr>
        <w:pStyle w:val="Style37"/>
        <w:numPr>
          <w:ilvl w:val="0"/>
          <w:numId w:val="9"/>
        </w:numPr>
        <w:snapToGrid w:val="false"/>
        <w:spacing w:lineRule="atLeast" w:line="300" w:before="180" w:after="0"/>
        <w:ind w:left="602" w:hanging="616"/>
        <w:jc w:val="both"/>
        <w:rPr>
          <w:rFonts w:ascii="標楷體" w:hAnsi="標楷體" w:eastAsia="標楷體"/>
          <w:b/>
          <w:b/>
          <w:sz w:val="28"/>
          <w:szCs w:val="28"/>
        </w:rPr>
      </w:pPr>
      <w:r>
        <w:rPr>
          <w:rFonts w:ascii="標楷體" w:hAnsi="標楷體" w:eastAsia="標楷體"/>
          <w:b/>
          <w:sz w:val="28"/>
          <w:szCs w:val="28"/>
        </w:rPr>
        <w:t>目的</w:t>
      </w:r>
    </w:p>
    <w:p>
      <w:pPr>
        <w:pStyle w:val="Style37"/>
        <w:tabs>
          <w:tab w:val="left" w:pos="2058" w:leader="none"/>
        </w:tabs>
        <w:snapToGrid w:val="false"/>
        <w:spacing w:lineRule="atLeast" w:line="300"/>
        <w:ind w:left="588" w:firstLine="602"/>
        <w:jc w:val="both"/>
        <w:rPr/>
      </w:pPr>
      <w:r>
        <w:rPr>
          <w:rStyle w:val="Style5"/>
          <w:rFonts w:ascii="標楷體" w:hAnsi="標楷體" w:eastAsia="標楷體"/>
          <w:sz w:val="28"/>
          <w:szCs w:val="28"/>
        </w:rPr>
        <w:t>為衡量本機關內部控制制度設計及執行之有效性，</w:t>
      </w:r>
      <w:r>
        <w:rPr>
          <w:rStyle w:val="Style5"/>
          <w:rFonts w:ascii="標楷體" w:hAnsi="標楷體" w:eastAsia="標楷體"/>
          <w:sz w:val="28"/>
          <w:szCs w:val="28"/>
          <w:lang w:eastAsia="zh-TW"/>
        </w:rPr>
        <w:t>辦理自行評估作業，並作成自行評估結果，落實自我監督機制</w:t>
      </w:r>
      <w:r>
        <w:rPr>
          <w:rStyle w:val="Style5"/>
          <w:rFonts w:ascii="標楷體" w:hAnsi="標楷體" w:eastAsia="標楷體"/>
          <w:sz w:val="28"/>
          <w:szCs w:val="28"/>
        </w:rPr>
        <w:t>。</w:t>
      </w:r>
    </w:p>
    <w:p>
      <w:pPr>
        <w:pStyle w:val="Style37"/>
        <w:numPr>
          <w:ilvl w:val="0"/>
          <w:numId w:val="9"/>
        </w:numPr>
        <w:snapToGrid w:val="false"/>
        <w:spacing w:lineRule="atLeast" w:line="300" w:before="180" w:after="0"/>
        <w:ind w:left="602" w:hanging="616"/>
        <w:jc w:val="both"/>
        <w:rPr>
          <w:rFonts w:ascii="標楷體" w:hAnsi="標楷體" w:eastAsia="標楷體"/>
          <w:b/>
          <w:b/>
          <w:sz w:val="28"/>
          <w:szCs w:val="28"/>
        </w:rPr>
      </w:pPr>
      <w:r>
        <w:rPr>
          <w:rFonts w:ascii="標楷體" w:hAnsi="標楷體" w:eastAsia="標楷體"/>
          <w:b/>
          <w:sz w:val="28"/>
          <w:szCs w:val="28"/>
        </w:rPr>
        <w:t>評估範圍及評估單位</w:t>
      </w:r>
    </w:p>
    <w:p>
      <w:pPr>
        <w:pStyle w:val="Style26"/>
        <w:tabs>
          <w:tab w:val="clear" w:pos="480"/>
        </w:tabs>
        <w:snapToGrid w:val="false"/>
        <w:spacing w:lineRule="atLeast" w:line="300" w:before="0" w:after="72"/>
        <w:ind w:left="838" w:hanging="560"/>
        <w:jc w:val="both"/>
        <w:rPr>
          <w:rFonts w:ascii="標楷體" w:hAnsi="標楷體" w:eastAsia="標楷體"/>
          <w:sz w:val="28"/>
          <w:szCs w:val="28"/>
        </w:rPr>
      </w:pPr>
      <w:r>
        <w:rPr>
          <w:rFonts w:ascii="標楷體" w:hAnsi="標楷體" w:eastAsia="標楷體"/>
          <w:sz w:val="28"/>
          <w:szCs w:val="28"/>
        </w:rPr>
        <w:t>一、由本機關各評估單位依據「新北市政府內部控制監督作業原則」之附件「內部控制自行評估表」（如附件）所列評估重點，就○○年○○月○○日至○○年○○月○○日間內部控制運作情形進行評估，評估重點及其評估單位如表</w:t>
      </w:r>
      <w:r>
        <w:rPr>
          <w:rFonts w:eastAsia="標楷體" w:ascii="標楷體" w:hAnsi="標楷體"/>
          <w:sz w:val="28"/>
          <w:szCs w:val="28"/>
        </w:rPr>
        <w:t>1</w:t>
      </w:r>
      <w:r>
        <w:rPr>
          <w:rFonts w:ascii="標楷體" w:hAnsi="標楷體" w:eastAsia="標楷體"/>
          <w:sz w:val="28"/>
          <w:szCs w:val="28"/>
        </w:rPr>
        <w:t>所示。</w:t>
      </w:r>
    </w:p>
    <w:p>
      <w:pPr>
        <w:pStyle w:val="Style26"/>
        <w:tabs>
          <w:tab w:val="clear" w:pos="480"/>
        </w:tabs>
        <w:snapToGrid w:val="false"/>
        <w:spacing w:lineRule="atLeast" w:line="300" w:before="0" w:after="180"/>
        <w:ind w:left="838" w:hanging="560"/>
        <w:jc w:val="both"/>
        <w:rPr/>
      </w:pPr>
      <w:r>
        <w:rPr>
          <w:rStyle w:val="Style5"/>
          <w:rFonts w:ascii="標楷體" w:hAnsi="標楷體" w:eastAsia="標楷體"/>
          <w:sz w:val="28"/>
          <w:szCs w:val="28"/>
        </w:rPr>
        <w:t>二、</w:t>
      </w:r>
      <w:r>
        <w:rPr>
          <w:rStyle w:val="Style5"/>
          <w:rFonts w:ascii="標楷體" w:hAnsi="標楷體" w:cs="標楷體" w:eastAsia="標楷體"/>
          <w:sz w:val="28"/>
          <w:szCs w:val="28"/>
          <w:lang w:val="zh-TW"/>
        </w:rPr>
        <w:t>各評估單位</w:t>
      </w:r>
      <w:r>
        <w:rPr>
          <w:rStyle w:val="Style5"/>
          <w:rFonts w:ascii="標楷體" w:hAnsi="標楷體" w:eastAsia="標楷體"/>
          <w:sz w:val="28"/>
          <w:szCs w:val="28"/>
        </w:rPr>
        <w:t>另得視業務性質及外部意見等調整增列評估重點項目。</w:t>
      </w:r>
    </w:p>
    <w:p>
      <w:pPr>
        <w:pStyle w:val="Style26"/>
        <w:tabs>
          <w:tab w:val="clear" w:pos="480"/>
        </w:tabs>
        <w:snapToGrid w:val="false"/>
        <w:spacing w:lineRule="atLeast" w:line="240" w:before="180" w:after="180"/>
        <w:ind w:left="2400" w:hanging="0"/>
        <w:rPr>
          <w:rFonts w:ascii="標楷體" w:hAnsi="標楷體" w:eastAsia="標楷體"/>
          <w:sz w:val="28"/>
          <w:szCs w:val="28"/>
        </w:rPr>
      </w:pPr>
      <w:r>
        <w:rPr>
          <w:rFonts w:ascii="標楷體" w:hAnsi="標楷體" w:eastAsia="標楷體"/>
          <w:sz w:val="28"/>
          <w:szCs w:val="28"/>
        </w:rPr>
        <w:t>表</w:t>
      </w:r>
      <w:r>
        <w:rPr>
          <w:rFonts w:eastAsia="標楷體" w:ascii="標楷體" w:hAnsi="標楷體"/>
          <w:sz w:val="28"/>
          <w:szCs w:val="28"/>
        </w:rPr>
        <w:t>1 ○○</w:t>
      </w:r>
      <w:r>
        <w:rPr>
          <w:rFonts w:ascii="標楷體" w:hAnsi="標楷體" w:eastAsia="標楷體"/>
          <w:sz w:val="28"/>
          <w:szCs w:val="28"/>
        </w:rPr>
        <w:t>年度自行評估重點及評估單位</w:t>
      </w:r>
    </w:p>
    <w:tbl>
      <w:tblPr>
        <w:tblW w:w="8204" w:type="dxa"/>
        <w:jc w:val="left"/>
        <w:tblInd w:w="981" w:type="dxa"/>
        <w:tblCellMar>
          <w:top w:w="0" w:type="dxa"/>
          <w:left w:w="108" w:type="dxa"/>
          <w:bottom w:w="0" w:type="dxa"/>
          <w:right w:w="108" w:type="dxa"/>
        </w:tblCellMar>
      </w:tblPr>
      <w:tblGrid>
        <w:gridCol w:w="5047"/>
        <w:gridCol w:w="3157"/>
      </w:tblGrid>
      <w:tr>
        <w:trPr>
          <w:tblHeader w:val="true"/>
          <w:trHeight w:val="800" w:hRule="atLeast"/>
        </w:trPr>
        <w:tc>
          <w:tcPr>
            <w:tcW w:w="504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ind w:firstLine="129"/>
              <w:jc w:val="center"/>
              <w:rPr>
                <w:rFonts w:ascii="標楷體" w:hAnsi="標楷體" w:eastAsia="標楷體"/>
                <w:b/>
                <w:b/>
                <w:sz w:val="28"/>
                <w:szCs w:val="28"/>
              </w:rPr>
            </w:pPr>
            <w:r>
              <w:rPr>
                <w:rFonts w:ascii="標楷體" w:hAnsi="標楷體" w:eastAsia="標楷體"/>
                <w:b/>
                <w:sz w:val="28"/>
                <w:szCs w:val="28"/>
              </w:rPr>
              <w:t>評估重點</w:t>
            </w:r>
          </w:p>
        </w:tc>
        <w:tc>
          <w:tcPr>
            <w:tcW w:w="315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b/>
                <w:b/>
                <w:sz w:val="28"/>
                <w:szCs w:val="28"/>
              </w:rPr>
            </w:pPr>
            <w:r>
              <w:rPr>
                <w:rFonts w:ascii="標楷體" w:hAnsi="標楷體" w:eastAsia="標楷體"/>
                <w:b/>
                <w:sz w:val="28"/>
                <w:szCs w:val="28"/>
              </w:rPr>
              <w:t>評估單位</w:t>
            </w:r>
          </w:p>
        </w:tc>
      </w:tr>
      <w:tr>
        <w:trPr>
          <w:trHeight w:val="499" w:hRule="atLeast"/>
        </w:trPr>
        <w:tc>
          <w:tcPr>
            <w:tcW w:w="504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tabs>
                <w:tab w:val="clear" w:pos="480"/>
              </w:tabs>
              <w:snapToGrid w:val="false"/>
              <w:spacing w:lineRule="atLeast" w:line="240"/>
              <w:ind w:left="560" w:hanging="560"/>
              <w:jc w:val="both"/>
              <w:rPr/>
            </w:pPr>
            <w:r>
              <w:rPr>
                <w:rStyle w:val="Style5"/>
                <w:rFonts w:ascii="標楷體" w:hAnsi="標楷體" w:eastAsia="標楷體"/>
                <w:sz w:val="28"/>
                <w:szCs w:val="28"/>
              </w:rPr>
              <w:t>一、評估機關目標無法達成之風險，並決定需優先處理之風險項目，以及定期滾動檢討風險評估，以因應內部及外部環境之改變。</w:t>
            </w:r>
          </w:p>
        </w:tc>
        <w:tc>
          <w:tcPr>
            <w:tcW w:w="315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各單位</w:t>
            </w:r>
          </w:p>
        </w:tc>
      </w:tr>
      <w:tr>
        <w:trPr>
          <w:trHeight w:val="499" w:hRule="atLeast"/>
        </w:trPr>
        <w:tc>
          <w:tcPr>
            <w:tcW w:w="504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tabs>
                <w:tab w:val="clear" w:pos="480"/>
              </w:tabs>
              <w:snapToGrid w:val="false"/>
              <w:spacing w:lineRule="atLeast" w:line="240"/>
              <w:ind w:left="560" w:hanging="560"/>
              <w:jc w:val="both"/>
              <w:rPr>
                <w:rFonts w:ascii="標楷體" w:hAnsi="標楷體" w:eastAsia="標楷體"/>
                <w:sz w:val="28"/>
                <w:szCs w:val="28"/>
              </w:rPr>
            </w:pPr>
            <w:r>
              <w:rPr>
                <w:rFonts w:ascii="標楷體" w:hAnsi="標楷體" w:eastAsia="標楷體"/>
                <w:sz w:val="28"/>
                <w:szCs w:val="28"/>
              </w:rPr>
              <w:t>二、依據各項業務性質與時俱進檢討不合時宜之控制作業及作業流程，並落實執行各項控制作業。</w:t>
            </w:r>
          </w:p>
        </w:tc>
        <w:tc>
          <w:tcPr>
            <w:tcW w:w="315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各單位</w:t>
            </w:r>
          </w:p>
        </w:tc>
      </w:tr>
      <w:tr>
        <w:trPr>
          <w:trHeight w:val="499" w:hRule="atLeast"/>
        </w:trPr>
        <w:tc>
          <w:tcPr>
            <w:tcW w:w="504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tabs>
                <w:tab w:val="clear" w:pos="480"/>
              </w:tabs>
              <w:snapToGrid w:val="false"/>
              <w:spacing w:lineRule="atLeast" w:line="240"/>
              <w:ind w:left="560" w:hanging="560"/>
              <w:rPr>
                <w:rFonts w:ascii="標楷體" w:hAnsi="標楷體" w:eastAsia="標楷體"/>
                <w:sz w:val="28"/>
                <w:szCs w:val="28"/>
              </w:rPr>
            </w:pPr>
            <w:r>
              <w:rPr>
                <w:rFonts w:ascii="標楷體" w:hAnsi="標楷體" w:eastAsia="標楷體"/>
                <w:sz w:val="28"/>
                <w:szCs w:val="28"/>
              </w:rPr>
              <w:t>三、建立檢討主管法令規定機制，並針對外界意見或執行缺失部分即時檢討相關法令規定。</w:t>
            </w:r>
          </w:p>
        </w:tc>
        <w:tc>
          <w:tcPr>
            <w:tcW w:w="315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各單位</w:t>
            </w:r>
          </w:p>
        </w:tc>
      </w:tr>
      <w:tr>
        <w:trPr>
          <w:trHeight w:val="499" w:hRule="atLeast"/>
        </w:trPr>
        <w:tc>
          <w:tcPr>
            <w:tcW w:w="504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tabs>
                <w:tab w:val="clear" w:pos="480"/>
              </w:tabs>
              <w:snapToGrid w:val="false"/>
              <w:spacing w:lineRule="atLeast" w:line="240"/>
              <w:ind w:left="560" w:hanging="560"/>
              <w:rPr>
                <w:rFonts w:ascii="標楷體" w:hAnsi="標楷體" w:eastAsia="標楷體"/>
                <w:sz w:val="28"/>
                <w:szCs w:val="28"/>
              </w:rPr>
            </w:pPr>
            <w:r>
              <w:rPr>
                <w:rFonts w:ascii="標楷體" w:hAnsi="標楷體" w:eastAsia="標楷體"/>
                <w:sz w:val="28"/>
                <w:szCs w:val="28"/>
              </w:rPr>
              <w:t>四、遵循相關法令規定或契約。</w:t>
            </w:r>
          </w:p>
        </w:tc>
        <w:tc>
          <w:tcPr>
            <w:tcW w:w="315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各單位</w:t>
            </w:r>
          </w:p>
        </w:tc>
      </w:tr>
      <w:tr>
        <w:trPr>
          <w:trHeight w:val="499" w:hRule="atLeast"/>
        </w:trPr>
        <w:tc>
          <w:tcPr>
            <w:tcW w:w="504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tabs>
                <w:tab w:val="clear" w:pos="480"/>
              </w:tabs>
              <w:snapToGrid w:val="false"/>
              <w:spacing w:lineRule="atLeast" w:line="240"/>
              <w:ind w:left="560" w:hanging="560"/>
              <w:rPr>
                <w:rFonts w:ascii="標楷體" w:hAnsi="標楷體" w:eastAsia="標楷體"/>
                <w:sz w:val="28"/>
                <w:szCs w:val="28"/>
              </w:rPr>
            </w:pPr>
            <w:r>
              <w:rPr>
                <w:rFonts w:ascii="標楷體" w:hAnsi="標楷體" w:eastAsia="標楷體"/>
                <w:sz w:val="28"/>
                <w:szCs w:val="28"/>
              </w:rPr>
              <w:t>五、就涉及人民權利或義務之主管業務建立適當之檢核、審查、追蹤、管制或考核等管理機制，並除依法公開外，另依風險評估結果，推動其行政作業流程透明措施，以利外部監督及型塑廉能政府。</w:t>
            </w:r>
          </w:p>
        </w:tc>
        <w:tc>
          <w:tcPr>
            <w:tcW w:w="315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各單位</w:t>
            </w:r>
          </w:p>
        </w:tc>
      </w:tr>
      <w:tr>
        <w:trPr>
          <w:trHeight w:val="499" w:hRule="atLeast"/>
        </w:trPr>
        <w:tc>
          <w:tcPr>
            <w:tcW w:w="504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tabs>
                <w:tab w:val="clear" w:pos="480"/>
              </w:tabs>
              <w:snapToGrid w:val="false"/>
              <w:spacing w:lineRule="atLeast" w:line="240"/>
              <w:ind w:left="560" w:hanging="560"/>
              <w:rPr>
                <w:rFonts w:ascii="標楷體" w:hAnsi="標楷體" w:eastAsia="標楷體"/>
                <w:sz w:val="28"/>
                <w:szCs w:val="28"/>
              </w:rPr>
            </w:pPr>
            <w:r>
              <w:rPr>
                <w:rFonts w:ascii="標楷體" w:hAnsi="標楷體" w:eastAsia="標楷體"/>
                <w:sz w:val="28"/>
                <w:szCs w:val="28"/>
              </w:rPr>
              <w:t>六、就主管業務對相關機關或單位善盡監理、督導或輔導等責任。</w:t>
            </w:r>
          </w:p>
        </w:tc>
        <w:tc>
          <w:tcPr>
            <w:tcW w:w="315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各單位</w:t>
            </w:r>
          </w:p>
        </w:tc>
      </w:tr>
      <w:tr>
        <w:trPr>
          <w:trHeight w:val="1113" w:hRule="atLeast"/>
        </w:trPr>
        <w:tc>
          <w:tcPr>
            <w:tcW w:w="504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tabs>
                <w:tab w:val="clear" w:pos="480"/>
              </w:tabs>
              <w:snapToGrid w:val="false"/>
              <w:spacing w:lineRule="atLeast" w:line="240"/>
              <w:ind w:left="560" w:hanging="560"/>
              <w:jc w:val="both"/>
              <w:rPr>
                <w:rFonts w:ascii="標楷體" w:hAnsi="標楷體" w:eastAsia="標楷體"/>
                <w:sz w:val="28"/>
                <w:szCs w:val="28"/>
              </w:rPr>
            </w:pPr>
            <w:r>
              <w:rPr>
                <w:rFonts w:ascii="標楷體" w:hAnsi="標楷體" w:eastAsia="標楷體"/>
                <w:sz w:val="28"/>
                <w:szCs w:val="28"/>
              </w:rPr>
              <w:t>七、針對內部高風險業務設有明確職能分工及職務輪調等機制。</w:t>
            </w:r>
          </w:p>
          <w:p>
            <w:pPr>
              <w:pStyle w:val="Style26"/>
              <w:tabs>
                <w:tab w:val="clear" w:pos="480"/>
              </w:tabs>
              <w:snapToGrid w:val="false"/>
              <w:spacing w:lineRule="atLeast" w:line="240"/>
              <w:ind w:left="480" w:hanging="0"/>
              <w:jc w:val="both"/>
              <w:rPr/>
            </w:pPr>
            <w:r>
              <w:rPr>
                <w:rStyle w:val="Style5"/>
                <w:rFonts w:ascii="標楷體" w:hAnsi="標楷體" w:eastAsia="標楷體"/>
                <w:b/>
              </w:rPr>
              <w:t>（由機關自行指定之單位負責評估，其餘單位免列示本項）</w:t>
            </w:r>
          </w:p>
        </w:tc>
        <w:tc>
          <w:tcPr>
            <w:tcW w:w="315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w:t>
            </w:r>
          </w:p>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w:t>
            </w:r>
          </w:p>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w:t>
            </w:r>
          </w:p>
        </w:tc>
      </w:tr>
      <w:tr>
        <w:trPr/>
        <w:tc>
          <w:tcPr>
            <w:tcW w:w="504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tabs>
                <w:tab w:val="clear" w:pos="480"/>
              </w:tabs>
              <w:snapToGrid w:val="false"/>
              <w:spacing w:lineRule="atLeast" w:line="240"/>
              <w:ind w:left="560" w:hanging="560"/>
              <w:rPr>
                <w:rFonts w:ascii="標楷體" w:hAnsi="標楷體" w:eastAsia="標楷體"/>
                <w:sz w:val="28"/>
                <w:szCs w:val="28"/>
              </w:rPr>
            </w:pPr>
            <w:r>
              <w:rPr>
                <w:rFonts w:ascii="標楷體" w:hAnsi="標楷體" w:eastAsia="標楷體"/>
                <w:sz w:val="28"/>
                <w:szCs w:val="28"/>
              </w:rPr>
              <w:t>八、稽核評估職能單位及負責內部控制或內部稽核業務幕僚單位依相關法令規定落實辦理相關工作。</w:t>
            </w:r>
          </w:p>
          <w:p>
            <w:pPr>
              <w:pStyle w:val="Style26"/>
              <w:tabs>
                <w:tab w:val="clear" w:pos="480"/>
              </w:tabs>
              <w:snapToGrid w:val="false"/>
              <w:spacing w:lineRule="atLeast" w:line="240"/>
              <w:ind w:left="480" w:hanging="0"/>
              <w:rPr/>
            </w:pPr>
            <w:r>
              <w:rPr>
                <w:rStyle w:val="Style5"/>
                <w:rFonts w:ascii="標楷體" w:hAnsi="標楷體" w:eastAsia="標楷體"/>
                <w:b/>
              </w:rPr>
              <w:t>（非稽核評估職能單位、內部控制或內部稽核業務幕僚單位免列示本項）</w:t>
            </w:r>
          </w:p>
        </w:tc>
        <w:tc>
          <w:tcPr>
            <w:tcW w:w="315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w:t>
            </w:r>
          </w:p>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w:t>
            </w:r>
          </w:p>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w:t>
            </w:r>
          </w:p>
        </w:tc>
      </w:tr>
    </w:tbl>
    <w:p>
      <w:pPr>
        <w:pStyle w:val="Style37"/>
        <w:numPr>
          <w:ilvl w:val="0"/>
          <w:numId w:val="9"/>
        </w:numPr>
        <w:snapToGrid w:val="false"/>
        <w:spacing w:lineRule="atLeast" w:line="300" w:before="180" w:after="0"/>
        <w:ind w:left="607" w:hanging="618"/>
        <w:jc w:val="both"/>
        <w:rPr>
          <w:rFonts w:ascii="標楷體" w:hAnsi="標楷體" w:eastAsia="標楷體"/>
          <w:b/>
          <w:b/>
          <w:sz w:val="28"/>
          <w:szCs w:val="28"/>
        </w:rPr>
      </w:pPr>
      <w:r>
        <w:rPr>
          <w:rFonts w:ascii="標楷體" w:hAnsi="標楷體" w:eastAsia="標楷體"/>
          <w:b/>
          <w:sz w:val="28"/>
          <w:szCs w:val="28"/>
        </w:rPr>
        <w:t>評估方式</w:t>
      </w:r>
    </w:p>
    <w:p>
      <w:pPr>
        <w:pStyle w:val="Style26"/>
        <w:tabs>
          <w:tab w:val="clear" w:pos="480"/>
        </w:tabs>
        <w:snapToGrid w:val="false"/>
        <w:spacing w:lineRule="atLeast" w:line="300" w:before="0" w:after="72"/>
        <w:ind w:left="838" w:hanging="560"/>
        <w:jc w:val="both"/>
        <w:rPr/>
      </w:pPr>
      <w:r>
        <w:rPr>
          <w:rStyle w:val="Style5"/>
          <w:rFonts w:ascii="標楷體" w:hAnsi="標楷體" w:eastAsia="標楷體"/>
          <w:sz w:val="28"/>
          <w:szCs w:val="28"/>
        </w:rPr>
        <w:t>一、</w:t>
      </w:r>
      <w:r>
        <w:rPr>
          <w:rStyle w:val="Style5"/>
          <w:rFonts w:ascii="標楷體" w:hAnsi="標楷體" w:cs="標楷體" w:eastAsia="標楷體"/>
          <w:sz w:val="28"/>
          <w:szCs w:val="28"/>
          <w:lang w:val="zh-TW"/>
        </w:rPr>
        <w:t>各評估單位</w:t>
      </w:r>
      <w:r>
        <w:rPr>
          <w:rStyle w:val="Style5"/>
          <w:rFonts w:ascii="標楷體" w:hAnsi="標楷體" w:eastAsia="標楷體"/>
          <w:sz w:val="28"/>
          <w:szCs w:val="28"/>
        </w:rPr>
        <w:t>應依「新北市政府內部控制監督作業原則」之「自行評估作業流程圖及其說明」辦理自行評估作業。</w:t>
      </w:r>
    </w:p>
    <w:p>
      <w:pPr>
        <w:pStyle w:val="Style26"/>
        <w:tabs>
          <w:tab w:val="clear" w:pos="480"/>
        </w:tabs>
        <w:snapToGrid w:val="false"/>
        <w:spacing w:lineRule="atLeast" w:line="300" w:before="0" w:after="72"/>
        <w:ind w:left="838" w:hanging="560"/>
        <w:jc w:val="both"/>
        <w:rPr>
          <w:rFonts w:ascii="標楷體" w:hAnsi="標楷體" w:eastAsia="標楷體"/>
          <w:sz w:val="28"/>
          <w:szCs w:val="28"/>
        </w:rPr>
      </w:pPr>
      <w:r>
        <w:rPr>
          <w:rFonts w:ascii="標楷體" w:hAnsi="標楷體" w:eastAsia="標楷體"/>
          <w:sz w:val="28"/>
          <w:szCs w:val="28"/>
        </w:rPr>
        <w:t>二、評估單位辦理自行評估時，應於「內部控制自行評估表」根據評估結果於評估情形欄勾選，評估標準如下：</w:t>
      </w:r>
    </w:p>
    <w:p>
      <w:pPr>
        <w:pStyle w:val="Style26"/>
        <w:tabs>
          <w:tab w:val="clear" w:pos="480"/>
        </w:tabs>
        <w:snapToGrid w:val="false"/>
        <w:spacing w:lineRule="atLeast" w:line="300" w:before="0" w:after="72"/>
        <w:ind w:left="1112" w:hanging="560"/>
        <w:jc w:val="both"/>
        <w:rPr>
          <w:rFonts w:ascii="標楷體" w:hAnsi="標楷體" w:eastAsia="標楷體"/>
          <w:sz w:val="28"/>
          <w:szCs w:val="28"/>
        </w:rPr>
      </w:pPr>
      <w:r>
        <w:rPr>
          <w:rFonts w:eastAsia="標楷體" w:ascii="標楷體" w:hAnsi="標楷體"/>
          <w:sz w:val="28"/>
          <w:szCs w:val="28"/>
        </w:rPr>
        <w:t>(</w:t>
      </w:r>
      <w:r>
        <w:rPr>
          <w:rFonts w:ascii="標楷體" w:hAnsi="標楷體" w:eastAsia="標楷體"/>
          <w:sz w:val="28"/>
          <w:szCs w:val="28"/>
        </w:rPr>
        <w:t>一</w:t>
      </w:r>
      <w:r>
        <w:rPr>
          <w:rFonts w:eastAsia="標楷體" w:ascii="標楷體" w:hAnsi="標楷體"/>
          <w:sz w:val="28"/>
          <w:szCs w:val="28"/>
        </w:rPr>
        <w:t>)</w:t>
      </w:r>
      <w:r>
        <w:rPr>
          <w:rFonts w:ascii="標楷體" w:hAnsi="標楷體" w:eastAsia="標楷體"/>
          <w:sz w:val="28"/>
          <w:szCs w:val="28"/>
        </w:rPr>
        <w:t>評估情形全部符合評估重點者，勾選「符合」。</w:t>
      </w:r>
    </w:p>
    <w:p>
      <w:pPr>
        <w:pStyle w:val="Style26"/>
        <w:tabs>
          <w:tab w:val="clear" w:pos="480"/>
        </w:tabs>
        <w:snapToGrid w:val="false"/>
        <w:spacing w:lineRule="atLeast" w:line="300" w:before="0" w:after="72"/>
        <w:ind w:left="1112" w:hanging="560"/>
        <w:jc w:val="both"/>
        <w:rPr>
          <w:rFonts w:ascii="標楷體" w:hAnsi="標楷體" w:eastAsia="標楷體"/>
          <w:sz w:val="28"/>
          <w:szCs w:val="28"/>
        </w:rPr>
      </w:pPr>
      <w:r>
        <w:rPr>
          <w:rFonts w:eastAsia="標楷體" w:ascii="標楷體" w:hAnsi="標楷體"/>
          <w:sz w:val="28"/>
          <w:szCs w:val="28"/>
        </w:rPr>
        <w:t>(</w:t>
      </w:r>
      <w:r>
        <w:rPr>
          <w:rFonts w:ascii="標楷體" w:hAnsi="標楷體" w:eastAsia="標楷體"/>
          <w:sz w:val="28"/>
          <w:szCs w:val="28"/>
        </w:rPr>
        <w:t>二</w:t>
      </w:r>
      <w:r>
        <w:rPr>
          <w:rFonts w:eastAsia="標楷體" w:ascii="標楷體" w:hAnsi="標楷體"/>
          <w:sz w:val="28"/>
          <w:szCs w:val="28"/>
        </w:rPr>
        <w:t>)</w:t>
      </w:r>
      <w:r>
        <w:rPr>
          <w:rFonts w:ascii="標楷體" w:hAnsi="標楷體" w:eastAsia="標楷體"/>
          <w:sz w:val="28"/>
          <w:szCs w:val="28"/>
        </w:rPr>
        <w:t>評估情形非全部符合評估重點者，勾選「部分符合」。</w:t>
      </w:r>
    </w:p>
    <w:p>
      <w:pPr>
        <w:pStyle w:val="Style26"/>
        <w:tabs>
          <w:tab w:val="clear" w:pos="480"/>
        </w:tabs>
        <w:snapToGrid w:val="false"/>
        <w:spacing w:lineRule="atLeast" w:line="300" w:before="0" w:after="72"/>
        <w:ind w:left="1112" w:hanging="560"/>
        <w:jc w:val="both"/>
        <w:rPr>
          <w:rFonts w:ascii="標楷體" w:hAnsi="標楷體" w:eastAsia="標楷體"/>
          <w:sz w:val="28"/>
          <w:szCs w:val="28"/>
        </w:rPr>
      </w:pPr>
      <w:r>
        <w:rPr>
          <w:rFonts w:eastAsia="標楷體" w:ascii="標楷體" w:hAnsi="標楷體"/>
          <w:sz w:val="28"/>
          <w:szCs w:val="28"/>
        </w:rPr>
        <w:t>(</w:t>
      </w:r>
      <w:r>
        <w:rPr>
          <w:rFonts w:ascii="標楷體" w:hAnsi="標楷體" w:eastAsia="標楷體"/>
          <w:sz w:val="28"/>
          <w:szCs w:val="28"/>
        </w:rPr>
        <w:t>三</w:t>
      </w:r>
      <w:r>
        <w:rPr>
          <w:rFonts w:eastAsia="標楷體" w:ascii="標楷體" w:hAnsi="標楷體"/>
          <w:sz w:val="28"/>
          <w:szCs w:val="28"/>
        </w:rPr>
        <w:t>)</w:t>
      </w:r>
      <w:r>
        <w:rPr>
          <w:rFonts w:ascii="標楷體" w:hAnsi="標楷體" w:eastAsia="標楷體"/>
          <w:sz w:val="28"/>
          <w:szCs w:val="28"/>
        </w:rPr>
        <w:t>評估情形不符合評估重點者，勾選「未符合」。</w:t>
      </w:r>
    </w:p>
    <w:p>
      <w:pPr>
        <w:pStyle w:val="Style26"/>
        <w:tabs>
          <w:tab w:val="clear" w:pos="480"/>
        </w:tabs>
        <w:snapToGrid w:val="false"/>
        <w:spacing w:lineRule="atLeast" w:line="300" w:before="0" w:after="72"/>
        <w:ind w:left="1112" w:hanging="560"/>
        <w:jc w:val="both"/>
        <w:rPr>
          <w:rFonts w:ascii="標楷體" w:hAnsi="標楷體" w:eastAsia="標楷體"/>
          <w:sz w:val="28"/>
          <w:szCs w:val="28"/>
        </w:rPr>
      </w:pPr>
      <w:r>
        <w:rPr>
          <w:rFonts w:eastAsia="標楷體" w:ascii="標楷體" w:hAnsi="標楷體"/>
          <w:sz w:val="28"/>
          <w:szCs w:val="28"/>
        </w:rPr>
        <w:t>(</w:t>
      </w:r>
      <w:r>
        <w:rPr>
          <w:rFonts w:ascii="標楷體" w:hAnsi="標楷體" w:eastAsia="標楷體"/>
          <w:sz w:val="28"/>
          <w:szCs w:val="28"/>
        </w:rPr>
        <w:t>四</w:t>
      </w:r>
      <w:r>
        <w:rPr>
          <w:rFonts w:eastAsia="標楷體" w:ascii="標楷體" w:hAnsi="標楷體"/>
          <w:sz w:val="28"/>
          <w:szCs w:val="28"/>
        </w:rPr>
        <w:t>)</w:t>
      </w:r>
      <w:r>
        <w:rPr>
          <w:rFonts w:ascii="標楷體" w:hAnsi="標楷體" w:eastAsia="標楷體"/>
          <w:sz w:val="28"/>
          <w:szCs w:val="28"/>
        </w:rPr>
        <w:t>有評估重點所規範之業務，但評估期間未發生，致無法評估者，勾選「未發生」。</w:t>
      </w:r>
    </w:p>
    <w:p>
      <w:pPr>
        <w:pStyle w:val="Style26"/>
        <w:tabs>
          <w:tab w:val="clear" w:pos="480"/>
        </w:tabs>
        <w:snapToGrid w:val="false"/>
        <w:spacing w:lineRule="atLeast" w:line="300" w:before="0" w:after="72"/>
        <w:ind w:left="1112" w:hanging="560"/>
        <w:jc w:val="both"/>
        <w:rPr>
          <w:rFonts w:ascii="標楷體" w:hAnsi="標楷體" w:eastAsia="標楷體"/>
          <w:sz w:val="28"/>
          <w:szCs w:val="28"/>
        </w:rPr>
      </w:pPr>
      <w:r>
        <w:rPr>
          <w:rFonts w:eastAsia="標楷體" w:ascii="標楷體" w:hAnsi="標楷體"/>
          <w:sz w:val="28"/>
          <w:szCs w:val="28"/>
        </w:rPr>
        <w:t>(</w:t>
      </w:r>
      <w:r>
        <w:rPr>
          <w:rFonts w:ascii="標楷體" w:hAnsi="標楷體" w:eastAsia="標楷體"/>
          <w:sz w:val="28"/>
          <w:szCs w:val="28"/>
        </w:rPr>
        <w:t>五</w:t>
      </w:r>
      <w:r>
        <w:rPr>
          <w:rFonts w:eastAsia="標楷體" w:ascii="標楷體" w:hAnsi="標楷體"/>
          <w:sz w:val="28"/>
          <w:szCs w:val="28"/>
        </w:rPr>
        <w:t>)</w:t>
      </w:r>
      <w:r>
        <w:rPr>
          <w:rFonts w:ascii="標楷體" w:hAnsi="標楷體" w:eastAsia="標楷體"/>
          <w:sz w:val="28"/>
          <w:szCs w:val="28"/>
        </w:rPr>
        <w:t>評估期間法令規定或作法已修正，但評估重點未及配合修正者，或無評估重點所規範之業務等，勾選「不適用」。</w:t>
      </w:r>
    </w:p>
    <w:p>
      <w:pPr>
        <w:pStyle w:val="Style26"/>
        <w:tabs>
          <w:tab w:val="clear" w:pos="480"/>
        </w:tabs>
        <w:snapToGrid w:val="false"/>
        <w:spacing w:lineRule="atLeast" w:line="300" w:before="0" w:after="72"/>
        <w:ind w:left="792" w:hanging="0"/>
        <w:jc w:val="both"/>
        <w:rPr>
          <w:rFonts w:ascii="標楷體" w:hAnsi="標楷體" w:eastAsia="標楷體"/>
          <w:sz w:val="28"/>
          <w:szCs w:val="28"/>
        </w:rPr>
      </w:pPr>
      <w:r>
        <w:rPr>
          <w:rFonts w:ascii="標楷體" w:hAnsi="標楷體" w:eastAsia="標楷體"/>
          <w:sz w:val="28"/>
          <w:szCs w:val="28"/>
        </w:rPr>
        <w:t>評估結果遇有「部分符合」、「未符合」及「不適用」情形者，應於情形說明欄詳細說明，其中「部分符合」、「未符合」情形者，應一併敘明改善措施或興革建議。</w:t>
      </w:r>
    </w:p>
    <w:p>
      <w:pPr>
        <w:pStyle w:val="Style26"/>
        <w:tabs>
          <w:tab w:val="clear" w:pos="480"/>
        </w:tabs>
        <w:snapToGrid w:val="false"/>
        <w:spacing w:lineRule="atLeast" w:line="300"/>
        <w:ind w:left="838" w:hanging="560"/>
        <w:jc w:val="both"/>
        <w:rPr>
          <w:rFonts w:ascii="標楷體" w:hAnsi="標楷體" w:eastAsia="標楷體"/>
          <w:sz w:val="28"/>
          <w:szCs w:val="28"/>
        </w:rPr>
      </w:pPr>
      <w:r>
        <w:rPr>
          <w:rFonts w:ascii="標楷體" w:hAnsi="標楷體" w:eastAsia="標楷體"/>
          <w:sz w:val="28"/>
          <w:szCs w:val="28"/>
        </w:rPr>
        <w:t>三、評估單位於檢視評估重點執行情形，若因評估範圍之案件筆數眾多，得以抽核方式辦理，其抽核標準如表</w:t>
      </w:r>
      <w:r>
        <w:rPr>
          <w:rFonts w:eastAsia="標楷體" w:ascii="標楷體" w:hAnsi="標楷體"/>
          <w:sz w:val="28"/>
          <w:szCs w:val="28"/>
        </w:rPr>
        <w:t>2</w:t>
      </w:r>
      <w:r>
        <w:rPr>
          <w:rFonts w:ascii="標楷體" w:hAnsi="標楷體" w:eastAsia="標楷體"/>
          <w:sz w:val="28"/>
          <w:szCs w:val="28"/>
        </w:rPr>
        <w:t>所示。</w:t>
      </w:r>
    </w:p>
    <w:p>
      <w:pPr>
        <w:pStyle w:val="Style26"/>
        <w:tabs>
          <w:tab w:val="clear" w:pos="480"/>
        </w:tabs>
        <w:snapToGrid w:val="false"/>
        <w:spacing w:lineRule="atLeast" w:line="240" w:before="180" w:after="0"/>
        <w:ind w:left="2640" w:hanging="0"/>
        <w:rPr>
          <w:rFonts w:ascii="標楷體" w:hAnsi="標楷體" w:eastAsia="標楷體"/>
          <w:sz w:val="28"/>
          <w:szCs w:val="28"/>
        </w:rPr>
      </w:pPr>
      <w:r>
        <w:rPr>
          <w:rFonts w:ascii="標楷體" w:hAnsi="標楷體" w:eastAsia="標楷體"/>
          <w:sz w:val="28"/>
          <w:szCs w:val="28"/>
        </w:rPr>
        <w:t>表</w:t>
      </w:r>
      <w:r>
        <w:rPr>
          <w:rFonts w:eastAsia="標楷體" w:ascii="標楷體" w:hAnsi="標楷體"/>
          <w:sz w:val="28"/>
          <w:szCs w:val="28"/>
        </w:rPr>
        <w:t>2 ○○</w:t>
      </w:r>
      <w:r>
        <w:rPr>
          <w:rFonts w:ascii="標楷體" w:hAnsi="標楷體" w:eastAsia="標楷體"/>
          <w:sz w:val="28"/>
          <w:szCs w:val="28"/>
        </w:rPr>
        <w:t>年度自行評估抽核標準表</w:t>
      </w:r>
    </w:p>
    <w:tbl>
      <w:tblPr>
        <w:tblW w:w="8204" w:type="dxa"/>
        <w:jc w:val="left"/>
        <w:tblInd w:w="981" w:type="dxa"/>
        <w:tblCellMar>
          <w:top w:w="0" w:type="dxa"/>
          <w:left w:w="108" w:type="dxa"/>
          <w:bottom w:w="0" w:type="dxa"/>
          <w:right w:w="108" w:type="dxa"/>
        </w:tblCellMar>
      </w:tblPr>
      <w:tblGrid>
        <w:gridCol w:w="5047"/>
        <w:gridCol w:w="3157"/>
      </w:tblGrid>
      <w:tr>
        <w:trPr>
          <w:tblHeader w:val="true"/>
          <w:trHeight w:val="363" w:hRule="atLeast"/>
        </w:trPr>
        <w:tc>
          <w:tcPr>
            <w:tcW w:w="504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ind w:firstLine="129"/>
              <w:jc w:val="center"/>
              <w:rPr/>
            </w:pPr>
            <w:r>
              <w:rPr>
                <w:rStyle w:val="Style5"/>
                <w:rFonts w:ascii="標楷體" w:hAnsi="標楷體" w:eastAsia="標楷體"/>
                <w:sz w:val="28"/>
                <w:szCs w:val="28"/>
              </w:rPr>
              <w:t>評估範圍</w:t>
            </w:r>
          </w:p>
        </w:tc>
        <w:tc>
          <w:tcPr>
            <w:tcW w:w="315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pPr>
            <w:r>
              <w:rPr>
                <w:rStyle w:val="Style5"/>
                <w:rFonts w:ascii="標楷體" w:hAnsi="標楷體" w:eastAsia="標楷體"/>
                <w:sz w:val="28"/>
                <w:szCs w:val="28"/>
              </w:rPr>
              <w:t>評估所需最少樣本量</w:t>
            </w:r>
          </w:p>
        </w:tc>
      </w:tr>
      <w:tr>
        <w:trPr>
          <w:trHeight w:val="363" w:hRule="atLeast"/>
        </w:trPr>
        <w:tc>
          <w:tcPr>
            <w:tcW w:w="5047" w:type="dxa"/>
            <w:tcBorders>
              <w:top w:val="single" w:sz="4" w:space="0" w:color="000000"/>
              <w:left w:val="single" w:sz="4" w:space="0" w:color="000000"/>
              <w:bottom w:val="single" w:sz="4" w:space="0" w:color="000000"/>
              <w:right w:val="single" w:sz="4" w:space="0" w:color="000000"/>
            </w:tcBorders>
            <w:shd w:fill="auto" w:val="clear"/>
          </w:tcPr>
          <w:p>
            <w:pPr>
              <w:pStyle w:val="Style26"/>
              <w:snapToGrid w:val="false"/>
              <w:spacing w:lineRule="atLeast" w:line="240"/>
              <w:jc w:val="both"/>
              <w:rPr>
                <w:rFonts w:ascii="標楷體" w:hAnsi="標楷體" w:eastAsia="標楷體"/>
                <w:sz w:val="28"/>
                <w:szCs w:val="28"/>
              </w:rPr>
            </w:pPr>
            <w:r>
              <w:rPr>
                <w:rFonts w:ascii="標楷體" w:hAnsi="標楷體" w:eastAsia="標楷體"/>
                <w:sz w:val="28"/>
                <w:szCs w:val="28"/>
              </w:rPr>
              <w:t>每日多筆</w:t>
            </w:r>
          </w:p>
        </w:tc>
        <w:tc>
          <w:tcPr>
            <w:tcW w:w="3157" w:type="dxa"/>
            <w:tcBorders>
              <w:top w:val="single" w:sz="4" w:space="0" w:color="000000"/>
              <w:left w:val="single" w:sz="4" w:space="0" w:color="000000"/>
              <w:bottom w:val="single" w:sz="4" w:space="0" w:color="000000"/>
              <w:right w:val="single" w:sz="4" w:space="0" w:color="000000"/>
            </w:tcBorders>
            <w:shd w:fill="auto" w:val="clea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w:t>
            </w:r>
            <w:r>
              <w:rPr>
                <w:rFonts w:ascii="標楷體" w:hAnsi="標楷體" w:eastAsia="標楷體"/>
                <w:sz w:val="28"/>
                <w:szCs w:val="28"/>
              </w:rPr>
              <w:t>筆</w:t>
            </w:r>
          </w:p>
        </w:tc>
      </w:tr>
      <w:tr>
        <w:trPr>
          <w:trHeight w:val="363" w:hRule="atLeast"/>
        </w:trPr>
        <w:tc>
          <w:tcPr>
            <w:tcW w:w="5047" w:type="dxa"/>
            <w:tcBorders>
              <w:top w:val="single" w:sz="4" w:space="0" w:color="000000"/>
              <w:left w:val="single" w:sz="4" w:space="0" w:color="000000"/>
              <w:bottom w:val="single" w:sz="4" w:space="0" w:color="000000"/>
              <w:right w:val="single" w:sz="4" w:space="0" w:color="000000"/>
            </w:tcBorders>
            <w:shd w:fill="auto" w:val="clear"/>
          </w:tcPr>
          <w:p>
            <w:pPr>
              <w:pStyle w:val="Style26"/>
              <w:snapToGrid w:val="false"/>
              <w:spacing w:lineRule="atLeast" w:line="240"/>
              <w:jc w:val="both"/>
              <w:rPr>
                <w:rFonts w:ascii="標楷體" w:hAnsi="標楷體" w:eastAsia="標楷體"/>
                <w:sz w:val="28"/>
                <w:szCs w:val="28"/>
              </w:rPr>
            </w:pPr>
            <w:r>
              <w:rPr>
                <w:rFonts w:ascii="標楷體" w:hAnsi="標楷體" w:eastAsia="標楷體"/>
                <w:sz w:val="28"/>
                <w:szCs w:val="28"/>
              </w:rPr>
              <w:t>每日一筆</w:t>
            </w:r>
          </w:p>
        </w:tc>
        <w:tc>
          <w:tcPr>
            <w:tcW w:w="3157" w:type="dxa"/>
            <w:tcBorders>
              <w:top w:val="single" w:sz="4" w:space="0" w:color="000000"/>
              <w:left w:val="single" w:sz="4" w:space="0" w:color="000000"/>
              <w:bottom w:val="single" w:sz="4" w:space="0" w:color="000000"/>
              <w:right w:val="single" w:sz="4" w:space="0" w:color="000000"/>
            </w:tcBorders>
            <w:shd w:fill="auto" w:val="clea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w:t>
            </w:r>
            <w:r>
              <w:rPr>
                <w:rFonts w:ascii="標楷體" w:hAnsi="標楷體" w:eastAsia="標楷體"/>
                <w:sz w:val="28"/>
                <w:szCs w:val="28"/>
              </w:rPr>
              <w:t>筆</w:t>
            </w:r>
          </w:p>
        </w:tc>
      </w:tr>
      <w:tr>
        <w:trPr>
          <w:trHeight w:val="363" w:hRule="atLeast"/>
        </w:trPr>
        <w:tc>
          <w:tcPr>
            <w:tcW w:w="5047" w:type="dxa"/>
            <w:tcBorders>
              <w:top w:val="single" w:sz="4" w:space="0" w:color="000000"/>
              <w:left w:val="single" w:sz="4" w:space="0" w:color="000000"/>
              <w:bottom w:val="single" w:sz="4" w:space="0" w:color="000000"/>
              <w:right w:val="single" w:sz="4" w:space="0" w:color="000000"/>
            </w:tcBorders>
            <w:shd w:fill="auto" w:val="clear"/>
          </w:tcPr>
          <w:p>
            <w:pPr>
              <w:pStyle w:val="Style26"/>
              <w:snapToGrid w:val="false"/>
              <w:spacing w:lineRule="atLeast" w:line="240"/>
              <w:jc w:val="both"/>
              <w:rPr>
                <w:rFonts w:ascii="標楷體" w:hAnsi="標楷體" w:eastAsia="標楷體"/>
                <w:sz w:val="28"/>
                <w:szCs w:val="28"/>
              </w:rPr>
            </w:pPr>
            <w:r>
              <w:rPr>
                <w:rFonts w:ascii="標楷體" w:hAnsi="標楷體" w:eastAsia="標楷體"/>
                <w:sz w:val="28"/>
                <w:szCs w:val="28"/>
              </w:rPr>
              <w:t xml:space="preserve">每週一筆 </w:t>
            </w:r>
          </w:p>
        </w:tc>
        <w:tc>
          <w:tcPr>
            <w:tcW w:w="3157" w:type="dxa"/>
            <w:tcBorders>
              <w:top w:val="single" w:sz="4" w:space="0" w:color="000000"/>
              <w:left w:val="single" w:sz="4" w:space="0" w:color="000000"/>
              <w:bottom w:val="single" w:sz="4" w:space="0" w:color="000000"/>
              <w:right w:val="single" w:sz="4" w:space="0" w:color="000000"/>
            </w:tcBorders>
            <w:shd w:fill="auto" w:val="clea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w:t>
            </w:r>
            <w:r>
              <w:rPr>
                <w:rFonts w:ascii="標楷體" w:hAnsi="標楷體" w:eastAsia="標楷體"/>
                <w:sz w:val="28"/>
                <w:szCs w:val="28"/>
              </w:rPr>
              <w:t>筆</w:t>
            </w:r>
          </w:p>
        </w:tc>
      </w:tr>
      <w:tr>
        <w:trPr>
          <w:trHeight w:val="363" w:hRule="atLeast"/>
        </w:trPr>
        <w:tc>
          <w:tcPr>
            <w:tcW w:w="5047" w:type="dxa"/>
            <w:tcBorders>
              <w:top w:val="single" w:sz="4" w:space="0" w:color="000000"/>
              <w:left w:val="single" w:sz="4" w:space="0" w:color="000000"/>
              <w:bottom w:val="single" w:sz="4" w:space="0" w:color="000000"/>
              <w:right w:val="single" w:sz="4" w:space="0" w:color="000000"/>
            </w:tcBorders>
            <w:shd w:fill="auto" w:val="clear"/>
          </w:tcPr>
          <w:p>
            <w:pPr>
              <w:pStyle w:val="Style26"/>
              <w:snapToGrid w:val="false"/>
              <w:spacing w:lineRule="atLeast" w:line="240"/>
              <w:jc w:val="both"/>
              <w:rPr>
                <w:rFonts w:ascii="標楷體" w:hAnsi="標楷體" w:eastAsia="標楷體"/>
                <w:sz w:val="28"/>
                <w:szCs w:val="28"/>
              </w:rPr>
            </w:pPr>
            <w:r>
              <w:rPr>
                <w:rFonts w:ascii="標楷體" w:hAnsi="標楷體" w:eastAsia="標楷體"/>
                <w:sz w:val="28"/>
                <w:szCs w:val="28"/>
              </w:rPr>
              <w:t xml:space="preserve">每月一筆 </w:t>
            </w:r>
          </w:p>
        </w:tc>
        <w:tc>
          <w:tcPr>
            <w:tcW w:w="3157" w:type="dxa"/>
            <w:tcBorders>
              <w:top w:val="single" w:sz="4" w:space="0" w:color="000000"/>
              <w:left w:val="single" w:sz="4" w:space="0" w:color="000000"/>
              <w:bottom w:val="single" w:sz="4" w:space="0" w:color="000000"/>
              <w:right w:val="single" w:sz="4" w:space="0" w:color="000000"/>
            </w:tcBorders>
            <w:shd w:fill="auto" w:val="clea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w:t>
            </w:r>
            <w:r>
              <w:rPr>
                <w:rFonts w:ascii="標楷體" w:hAnsi="標楷體" w:eastAsia="標楷體"/>
                <w:sz w:val="28"/>
                <w:szCs w:val="28"/>
              </w:rPr>
              <w:t>筆</w:t>
            </w:r>
          </w:p>
        </w:tc>
      </w:tr>
      <w:tr>
        <w:trPr>
          <w:trHeight w:val="363" w:hRule="atLeast"/>
        </w:trPr>
        <w:tc>
          <w:tcPr>
            <w:tcW w:w="5047" w:type="dxa"/>
            <w:tcBorders>
              <w:top w:val="single" w:sz="4" w:space="0" w:color="000000"/>
              <w:left w:val="single" w:sz="4" w:space="0" w:color="000000"/>
              <w:bottom w:val="single" w:sz="4" w:space="0" w:color="000000"/>
              <w:right w:val="single" w:sz="4" w:space="0" w:color="000000"/>
            </w:tcBorders>
            <w:shd w:fill="auto" w:val="clear"/>
          </w:tcPr>
          <w:p>
            <w:pPr>
              <w:pStyle w:val="Style26"/>
              <w:snapToGrid w:val="false"/>
              <w:spacing w:lineRule="atLeast" w:line="240"/>
              <w:jc w:val="both"/>
              <w:rPr/>
            </w:pPr>
            <w:r>
              <w:rPr>
                <w:rStyle w:val="Style5"/>
                <w:rFonts w:ascii="標楷體" w:hAnsi="標楷體" w:eastAsia="標楷體"/>
                <w:sz w:val="28"/>
                <w:szCs w:val="28"/>
              </w:rPr>
              <w:t>不定期，評估期間總筆數</w:t>
            </w:r>
            <w:r>
              <w:rPr>
                <w:rStyle w:val="Style5"/>
                <w:rFonts w:ascii="Symbol" w:hAnsi="Symbol" w:cs="Symbol" w:eastAsia="Symbol"/>
                <w:sz w:val="28"/>
                <w:szCs w:val="28"/>
              </w:rPr>
              <w:t></w:t>
            </w:r>
            <w:r>
              <w:rPr>
                <w:rStyle w:val="Style5"/>
                <w:rFonts w:ascii="標楷體" w:hAnsi="標楷體" w:eastAsia="標楷體"/>
                <w:sz w:val="28"/>
                <w:szCs w:val="28"/>
              </w:rPr>
              <w:t>○○筆</w:t>
            </w:r>
          </w:p>
        </w:tc>
        <w:tc>
          <w:tcPr>
            <w:tcW w:w="3157" w:type="dxa"/>
            <w:tcBorders>
              <w:top w:val="single" w:sz="4" w:space="0" w:color="000000"/>
              <w:left w:val="single" w:sz="4" w:space="0" w:color="000000"/>
              <w:bottom w:val="single" w:sz="4" w:space="0" w:color="000000"/>
              <w:right w:val="single" w:sz="4" w:space="0" w:color="000000"/>
            </w:tcBorders>
            <w:shd w:fill="auto" w:val="clear"/>
          </w:tcPr>
          <w:p>
            <w:pPr>
              <w:pStyle w:val="Style26"/>
              <w:snapToGrid w:val="false"/>
              <w:spacing w:lineRule="atLeast" w:line="240"/>
              <w:jc w:val="center"/>
              <w:rPr/>
            </w:pPr>
            <w:r>
              <w:rPr>
                <w:rStyle w:val="Style5"/>
                <w:rFonts w:ascii="標楷體" w:hAnsi="標楷體" w:eastAsia="標楷體"/>
                <w:sz w:val="28"/>
                <w:szCs w:val="28"/>
              </w:rPr>
              <w:t>評估期間總筆數</w:t>
            </w:r>
            <w:r>
              <w:rPr>
                <w:rStyle w:val="Style5"/>
                <w:rFonts w:ascii="Symbol" w:hAnsi="Symbol" w:cs="Symbol" w:eastAsia="Symbol"/>
                <w:sz w:val="28"/>
                <w:szCs w:val="28"/>
              </w:rPr>
              <w:t></w:t>
            </w:r>
            <w:r>
              <w:rPr>
                <w:rStyle w:val="Style5"/>
                <w:rFonts w:ascii="標楷體" w:hAnsi="標楷體" w:eastAsia="標楷體"/>
                <w:sz w:val="28"/>
                <w:szCs w:val="28"/>
              </w:rPr>
              <w:t>○○</w:t>
            </w:r>
            <w:r>
              <w:rPr>
                <w:rStyle w:val="Style5"/>
                <w:rFonts w:eastAsia="標楷體" w:ascii="標楷體" w:hAnsi="標楷體"/>
                <w:sz w:val="28"/>
                <w:szCs w:val="28"/>
              </w:rPr>
              <w:t>%</w:t>
            </w:r>
          </w:p>
        </w:tc>
      </w:tr>
      <w:tr>
        <w:trPr>
          <w:trHeight w:val="363" w:hRule="atLeast"/>
        </w:trPr>
        <w:tc>
          <w:tcPr>
            <w:tcW w:w="5047" w:type="dxa"/>
            <w:tcBorders>
              <w:top w:val="single" w:sz="4" w:space="0" w:color="000000"/>
              <w:left w:val="single" w:sz="4" w:space="0" w:color="000000"/>
              <w:bottom w:val="single" w:sz="4" w:space="0" w:color="000000"/>
              <w:right w:val="single" w:sz="4" w:space="0" w:color="000000"/>
            </w:tcBorders>
            <w:shd w:fill="auto" w:val="clear"/>
          </w:tcPr>
          <w:p>
            <w:pPr>
              <w:pStyle w:val="Style26"/>
              <w:snapToGrid w:val="false"/>
              <w:spacing w:lineRule="atLeast" w:line="240"/>
              <w:jc w:val="both"/>
              <w:rPr/>
            </w:pPr>
            <w:r>
              <w:rPr>
                <w:rStyle w:val="Style5"/>
                <w:rFonts w:ascii="標楷體" w:hAnsi="標楷體" w:eastAsia="標楷體"/>
                <w:sz w:val="28"/>
                <w:szCs w:val="28"/>
              </w:rPr>
              <w:t>不定期，評估期間總筆數約</w:t>
            </w:r>
            <w:r>
              <w:rPr>
                <w:rStyle w:val="Style5"/>
                <w:rFonts w:ascii="Symbol" w:hAnsi="Symbol" w:cs="Symbol" w:eastAsia="Symbol"/>
                <w:sz w:val="28"/>
                <w:szCs w:val="28"/>
              </w:rPr>
              <w:t></w:t>
            </w:r>
            <w:r>
              <w:rPr>
                <w:rStyle w:val="Style5"/>
                <w:rFonts w:ascii="標楷體" w:hAnsi="標楷體" w:eastAsia="標楷體"/>
                <w:sz w:val="28"/>
                <w:szCs w:val="28"/>
              </w:rPr>
              <w:t>○○筆</w:t>
            </w:r>
          </w:p>
        </w:tc>
        <w:tc>
          <w:tcPr>
            <w:tcW w:w="3157" w:type="dxa"/>
            <w:tcBorders>
              <w:top w:val="single" w:sz="4" w:space="0" w:color="000000"/>
              <w:left w:val="single" w:sz="4" w:space="0" w:color="000000"/>
              <w:bottom w:val="single" w:sz="4" w:space="0" w:color="000000"/>
              <w:right w:val="single" w:sz="4" w:space="0" w:color="000000"/>
            </w:tcBorders>
            <w:shd w:fill="auto" w:val="clear"/>
          </w:tcPr>
          <w:p>
            <w:pPr>
              <w:pStyle w:val="Style26"/>
              <w:snapToGrid w:val="false"/>
              <w:spacing w:lineRule="atLeast" w:line="240"/>
              <w:jc w:val="center"/>
              <w:rPr/>
            </w:pPr>
            <w:r>
              <w:rPr>
                <w:rStyle w:val="Style5"/>
                <w:rFonts w:ascii="標楷體" w:hAnsi="標楷體" w:eastAsia="標楷體"/>
                <w:sz w:val="28"/>
                <w:szCs w:val="28"/>
              </w:rPr>
              <w:t>評估期間總筆數</w:t>
            </w:r>
            <w:r>
              <w:rPr>
                <w:rStyle w:val="Style5"/>
                <w:rFonts w:ascii="Symbol" w:hAnsi="Symbol" w:cs="Symbol" w:eastAsia="Symbol"/>
                <w:sz w:val="28"/>
                <w:szCs w:val="28"/>
              </w:rPr>
              <w:t></w:t>
            </w:r>
            <w:r>
              <w:rPr>
                <w:rStyle w:val="Style5"/>
                <w:rFonts w:ascii="標楷體" w:hAnsi="標楷體" w:eastAsia="標楷體"/>
                <w:sz w:val="28"/>
                <w:szCs w:val="28"/>
              </w:rPr>
              <w:t>○○</w:t>
            </w:r>
            <w:r>
              <w:rPr>
                <w:rStyle w:val="Style5"/>
                <w:rFonts w:eastAsia="標楷體" w:ascii="標楷體" w:hAnsi="標楷體"/>
                <w:sz w:val="28"/>
                <w:szCs w:val="28"/>
              </w:rPr>
              <w:t>%</w:t>
            </w:r>
          </w:p>
        </w:tc>
      </w:tr>
    </w:tbl>
    <w:p>
      <w:pPr>
        <w:pStyle w:val="Style26"/>
        <w:tabs>
          <w:tab w:val="clear" w:pos="480"/>
        </w:tabs>
        <w:snapToGrid w:val="false"/>
        <w:spacing w:lineRule="atLeast" w:line="300" w:before="180" w:after="72"/>
        <w:ind w:left="838" w:hanging="560"/>
        <w:jc w:val="both"/>
        <w:rPr/>
      </w:pPr>
      <w:r>
        <w:rPr>
          <w:rStyle w:val="Style5"/>
          <w:rFonts w:ascii="標楷體" w:hAnsi="標楷體" w:eastAsia="標楷體"/>
          <w:sz w:val="28"/>
          <w:szCs w:val="28"/>
        </w:rPr>
        <w:t>四、</w:t>
      </w:r>
      <w:r>
        <w:rPr>
          <w:rStyle w:val="Style5"/>
          <w:rFonts w:ascii="標楷體" w:hAnsi="標楷體" w:cs="標楷體" w:eastAsia="標楷體"/>
          <w:sz w:val="28"/>
          <w:szCs w:val="28"/>
          <w:lang w:val="zh-TW"/>
        </w:rPr>
        <w:t>各評估單位之</w:t>
      </w:r>
      <w:r>
        <w:rPr>
          <w:rStyle w:val="Style5"/>
          <w:rFonts w:ascii="標楷體" w:hAnsi="標楷體" w:eastAsia="標楷體"/>
          <w:sz w:val="28"/>
          <w:szCs w:val="28"/>
        </w:rPr>
        <w:t>「內部控制自行評估表」須經單位主管簽章確認後，送本機關內部稽核單位彙整。</w:t>
      </w:r>
    </w:p>
    <w:p>
      <w:pPr>
        <w:pStyle w:val="Style26"/>
        <w:tabs>
          <w:tab w:val="clear" w:pos="480"/>
        </w:tabs>
        <w:snapToGrid w:val="false"/>
        <w:spacing w:lineRule="atLeast" w:line="300"/>
        <w:ind w:left="838" w:hanging="560"/>
        <w:jc w:val="both"/>
        <w:rPr>
          <w:rFonts w:ascii="標楷體" w:hAnsi="標楷體" w:eastAsia="標楷體"/>
          <w:sz w:val="28"/>
          <w:szCs w:val="28"/>
        </w:rPr>
      </w:pPr>
      <w:r>
        <w:rPr>
          <w:rFonts w:ascii="標楷體" w:hAnsi="標楷體" w:eastAsia="標楷體"/>
          <w:sz w:val="28"/>
          <w:szCs w:val="28"/>
        </w:rPr>
        <w:t>五、內部稽核單位於彙整各單位內部控制自行評估表後，提出自行評估結果並簽報機關首長；於自行評估發現缺失事項及改善措施，應與內部稽核作業所發現之缺失統一列管，並定期追蹤缺失改善情形，若涉及需修正內部控制制度者，應由內部控制專案小組督導相關單位依「新北市政府內部控制制度設計原則」規定修正。</w:t>
      </w:r>
    </w:p>
    <w:p>
      <w:pPr>
        <w:pStyle w:val="Style37"/>
        <w:numPr>
          <w:ilvl w:val="0"/>
          <w:numId w:val="9"/>
        </w:numPr>
        <w:snapToGrid w:val="false"/>
        <w:spacing w:lineRule="atLeast" w:line="300" w:before="180" w:after="0"/>
        <w:ind w:left="602" w:hanging="616"/>
        <w:jc w:val="both"/>
        <w:rPr>
          <w:rFonts w:ascii="標楷體" w:hAnsi="標楷體" w:eastAsia="標楷體"/>
          <w:b/>
          <w:b/>
          <w:sz w:val="28"/>
          <w:szCs w:val="28"/>
        </w:rPr>
      </w:pPr>
      <w:r>
        <w:rPr>
          <w:rFonts w:ascii="標楷體" w:hAnsi="標楷體" w:eastAsia="標楷體"/>
          <w:b/>
          <w:sz w:val="28"/>
          <w:szCs w:val="28"/>
        </w:rPr>
        <w:t>評估工作期程</w:t>
      </w:r>
    </w:p>
    <w:p>
      <w:pPr>
        <w:pStyle w:val="Style37"/>
        <w:tabs>
          <w:tab w:val="left" w:pos="2058" w:leader="none"/>
        </w:tabs>
        <w:snapToGrid w:val="false"/>
        <w:spacing w:lineRule="atLeast" w:line="300"/>
        <w:ind w:left="588" w:firstLine="602"/>
        <w:jc w:val="both"/>
        <w:rPr>
          <w:rFonts w:ascii="標楷體" w:hAnsi="標楷體" w:eastAsia="標楷體"/>
          <w:sz w:val="28"/>
          <w:szCs w:val="28"/>
        </w:rPr>
      </w:pPr>
      <w:r>
        <w:rPr>
          <w:rFonts w:ascii="標楷體" w:hAnsi="標楷體" w:eastAsia="標楷體"/>
          <w:sz w:val="28"/>
          <w:szCs w:val="28"/>
        </w:rPr>
        <w:t>本機關○○年自行評估作業時程為○○年○○月○○日起至○○年○○月○○日止，詳表</w:t>
      </w:r>
      <w:r>
        <w:rPr>
          <w:rFonts w:eastAsia="標楷體" w:ascii="標楷體" w:hAnsi="標楷體"/>
          <w:sz w:val="28"/>
          <w:szCs w:val="28"/>
        </w:rPr>
        <w:t>3</w:t>
      </w:r>
      <w:r>
        <w:rPr>
          <w:rFonts w:ascii="標楷體" w:hAnsi="標楷體" w:eastAsia="標楷體"/>
          <w:sz w:val="28"/>
          <w:szCs w:val="28"/>
        </w:rPr>
        <w:t>：</w:t>
      </w:r>
    </w:p>
    <w:p>
      <w:pPr>
        <w:pStyle w:val="Style26"/>
        <w:tabs>
          <w:tab w:val="clear" w:pos="480"/>
        </w:tabs>
        <w:snapToGrid w:val="false"/>
        <w:spacing w:lineRule="atLeast" w:line="240" w:before="180" w:after="0"/>
        <w:ind w:left="2400" w:hanging="0"/>
        <w:rPr>
          <w:rFonts w:ascii="標楷體" w:hAnsi="標楷體" w:eastAsia="標楷體"/>
          <w:sz w:val="28"/>
          <w:szCs w:val="28"/>
        </w:rPr>
      </w:pPr>
      <w:r>
        <w:rPr>
          <w:rFonts w:ascii="標楷體" w:hAnsi="標楷體" w:eastAsia="標楷體"/>
          <w:sz w:val="28"/>
          <w:szCs w:val="28"/>
        </w:rPr>
        <w:t>表</w:t>
      </w:r>
      <w:r>
        <w:rPr>
          <w:rFonts w:eastAsia="標楷體" w:ascii="標楷體" w:hAnsi="標楷體"/>
          <w:sz w:val="28"/>
          <w:szCs w:val="28"/>
        </w:rPr>
        <w:t>3 ○○</w:t>
      </w:r>
      <w:r>
        <w:rPr>
          <w:rFonts w:ascii="標楷體" w:hAnsi="標楷體" w:eastAsia="標楷體"/>
          <w:sz w:val="28"/>
          <w:szCs w:val="28"/>
        </w:rPr>
        <w:t>年度自行評估作業時程表</w:t>
      </w:r>
    </w:p>
    <w:tbl>
      <w:tblPr>
        <w:tblW w:w="8222" w:type="dxa"/>
        <w:jc w:val="left"/>
        <w:tblInd w:w="925" w:type="dxa"/>
        <w:tblCellMar>
          <w:top w:w="0" w:type="dxa"/>
          <w:left w:w="108" w:type="dxa"/>
          <w:bottom w:w="0" w:type="dxa"/>
          <w:right w:w="108" w:type="dxa"/>
        </w:tblCellMar>
      </w:tblPr>
      <w:tblGrid>
        <w:gridCol w:w="851"/>
        <w:gridCol w:w="3402"/>
        <w:gridCol w:w="1984"/>
        <w:gridCol w:w="1985"/>
      </w:tblGrid>
      <w:tr>
        <w:trPr>
          <w:trHeight w:val="659" w:hRule="atLeast"/>
        </w:trPr>
        <w:tc>
          <w:tcPr>
            <w:tcW w:w="851"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項次</w:t>
            </w:r>
          </w:p>
        </w:tc>
        <w:tc>
          <w:tcPr>
            <w:tcW w:w="3402"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項目</w:t>
            </w:r>
          </w:p>
        </w:tc>
        <w:tc>
          <w:tcPr>
            <w:tcW w:w="1984"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權責單位</w:t>
            </w:r>
          </w:p>
        </w:tc>
        <w:tc>
          <w:tcPr>
            <w:tcW w:w="1985"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完成期限</w:t>
            </w:r>
          </w:p>
        </w:tc>
      </w:tr>
      <w:tr>
        <w:trPr/>
        <w:tc>
          <w:tcPr>
            <w:tcW w:w="851"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eastAsia="標楷體" w:ascii="標楷體" w:hAnsi="標楷體"/>
                <w:sz w:val="28"/>
                <w:szCs w:val="28"/>
              </w:rPr>
              <w:t>1</w:t>
            </w:r>
          </w:p>
        </w:tc>
        <w:tc>
          <w:tcPr>
            <w:tcW w:w="3402"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both"/>
              <w:rPr>
                <w:rFonts w:ascii="標楷體" w:hAnsi="標楷體" w:eastAsia="標楷體"/>
                <w:sz w:val="28"/>
                <w:szCs w:val="28"/>
              </w:rPr>
            </w:pPr>
            <w:r>
              <w:rPr>
                <w:rFonts w:ascii="標楷體" w:hAnsi="標楷體" w:eastAsia="標楷體"/>
                <w:sz w:val="28"/>
                <w:szCs w:val="28"/>
              </w:rPr>
              <w:t>辦理內部控制自行評估，並將「內部控制自行評估表」繳交給內部稽核單位</w:t>
            </w:r>
          </w:p>
        </w:tc>
        <w:tc>
          <w:tcPr>
            <w:tcW w:w="1984"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各評估單位</w:t>
            </w:r>
          </w:p>
        </w:tc>
        <w:tc>
          <w:tcPr>
            <w:tcW w:w="1985"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w:t>
            </w:r>
            <w:r>
              <w:rPr>
                <w:rFonts w:ascii="標楷體" w:hAnsi="標楷體" w:eastAsia="標楷體"/>
                <w:sz w:val="28"/>
                <w:szCs w:val="28"/>
              </w:rPr>
              <w:t>年○○月○○日</w:t>
            </w:r>
          </w:p>
        </w:tc>
      </w:tr>
      <w:tr>
        <w:trPr/>
        <w:tc>
          <w:tcPr>
            <w:tcW w:w="851"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eastAsia="標楷體" w:ascii="標楷體" w:hAnsi="標楷體"/>
                <w:sz w:val="28"/>
                <w:szCs w:val="28"/>
              </w:rPr>
              <w:t>2</w:t>
            </w:r>
          </w:p>
        </w:tc>
        <w:tc>
          <w:tcPr>
            <w:tcW w:w="3402"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tabs>
                <w:tab w:val="clear" w:pos="480"/>
              </w:tabs>
              <w:snapToGrid w:val="false"/>
              <w:spacing w:lineRule="atLeast" w:line="240"/>
              <w:ind w:left="53" w:hanging="0"/>
              <w:jc w:val="both"/>
              <w:rPr>
                <w:rFonts w:ascii="標楷體" w:hAnsi="標楷體" w:eastAsia="標楷體"/>
                <w:sz w:val="28"/>
                <w:szCs w:val="28"/>
              </w:rPr>
            </w:pPr>
            <w:r>
              <w:rPr>
                <w:rFonts w:ascii="標楷體" w:hAnsi="標楷體" w:eastAsia="標楷體"/>
                <w:sz w:val="28"/>
                <w:szCs w:val="28"/>
              </w:rPr>
              <w:t>綜整各單位「內部控制自行評估表」後，將自行評估結果簽報機關首長</w:t>
            </w:r>
          </w:p>
        </w:tc>
        <w:tc>
          <w:tcPr>
            <w:tcW w:w="1984"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內部稽核單位</w:t>
            </w:r>
          </w:p>
        </w:tc>
        <w:tc>
          <w:tcPr>
            <w:tcW w:w="1985"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6"/>
              <w:snapToGrid w:val="false"/>
              <w:spacing w:lineRule="atLeast" w:line="240"/>
              <w:jc w:val="center"/>
              <w:rPr>
                <w:rFonts w:ascii="標楷體" w:hAnsi="標楷體" w:eastAsia="標楷體"/>
                <w:sz w:val="28"/>
                <w:szCs w:val="28"/>
              </w:rPr>
            </w:pPr>
            <w:r>
              <w:rPr>
                <w:rFonts w:ascii="標楷體" w:hAnsi="標楷體" w:eastAsia="標楷體"/>
                <w:sz w:val="28"/>
                <w:szCs w:val="28"/>
              </w:rPr>
              <w:t>○○</w:t>
            </w:r>
            <w:r>
              <w:rPr>
                <w:rFonts w:ascii="標楷體" w:hAnsi="標楷體" w:eastAsia="標楷體"/>
                <w:sz w:val="28"/>
                <w:szCs w:val="28"/>
              </w:rPr>
              <w:t>年○○月○○日</w:t>
            </w:r>
          </w:p>
        </w:tc>
      </w:tr>
    </w:tbl>
    <w:p>
      <w:pPr>
        <w:pStyle w:val="Style37"/>
        <w:numPr>
          <w:ilvl w:val="0"/>
          <w:numId w:val="9"/>
        </w:numPr>
        <w:snapToGrid w:val="false"/>
        <w:spacing w:lineRule="atLeast" w:line="300" w:before="180" w:after="0"/>
        <w:ind w:left="607" w:hanging="618"/>
        <w:jc w:val="both"/>
        <w:rPr/>
      </w:pPr>
      <w:r>
        <w:rPr>
          <w:rStyle w:val="Style5"/>
          <w:rFonts w:ascii="標楷體" w:hAnsi="標楷體" w:eastAsia="標楷體"/>
          <w:b/>
          <w:sz w:val="28"/>
          <w:szCs w:val="28"/>
        </w:rPr>
        <w:t>評估作業之相關表件應交由內</w:t>
      </w:r>
      <w:r>
        <w:rPr>
          <w:rStyle w:val="Style5"/>
          <w:rFonts w:ascii="標楷體" w:hAnsi="標楷體" w:eastAsia="標楷體"/>
          <w:b/>
          <w:sz w:val="28"/>
          <w:szCs w:val="28"/>
          <w:lang w:eastAsia="zh-TW"/>
        </w:rPr>
        <w:t>部</w:t>
      </w:r>
      <w:r>
        <w:rPr>
          <w:rStyle w:val="Style5"/>
          <w:rFonts w:ascii="標楷體" w:hAnsi="標楷體" w:eastAsia="標楷體"/>
          <w:b/>
          <w:sz w:val="28"/>
          <w:szCs w:val="28"/>
        </w:rPr>
        <w:t>稽</w:t>
      </w:r>
      <w:r>
        <w:rPr>
          <w:rStyle w:val="Style5"/>
          <w:rFonts w:ascii="標楷體" w:hAnsi="標楷體" w:eastAsia="標楷體"/>
          <w:b/>
          <w:sz w:val="28"/>
          <w:szCs w:val="28"/>
          <w:lang w:eastAsia="zh-TW"/>
        </w:rPr>
        <w:t>核</w:t>
      </w:r>
      <w:r>
        <w:rPr>
          <w:rStyle w:val="Style5"/>
          <w:rFonts w:ascii="標楷體" w:hAnsi="標楷體" w:eastAsia="標楷體"/>
          <w:b/>
          <w:sz w:val="28"/>
          <w:szCs w:val="28"/>
        </w:rPr>
        <w:t>單位保存，並自評估工作結束日起，以書面文件或電子化型式至少保存</w:t>
      </w:r>
      <w:r>
        <w:rPr>
          <w:rStyle w:val="Style5"/>
          <w:rFonts w:eastAsia="標楷體" w:ascii="標楷體" w:hAnsi="標楷體"/>
          <w:b/>
          <w:sz w:val="28"/>
          <w:szCs w:val="28"/>
        </w:rPr>
        <w:t>3</w:t>
      </w:r>
      <w:r>
        <w:rPr>
          <w:rStyle w:val="Style5"/>
          <w:rFonts w:ascii="標楷體" w:hAnsi="標楷體" w:eastAsia="標楷體"/>
          <w:b/>
          <w:sz w:val="28"/>
          <w:szCs w:val="28"/>
        </w:rPr>
        <w:t>年。</w:t>
      </w:r>
    </w:p>
    <w:p>
      <w:pPr>
        <w:pStyle w:val="Style37"/>
        <w:numPr>
          <w:ilvl w:val="0"/>
          <w:numId w:val="9"/>
        </w:numPr>
        <w:snapToGrid w:val="false"/>
        <w:spacing w:lineRule="atLeast" w:line="300" w:before="180" w:after="0"/>
        <w:ind w:left="607" w:hanging="618"/>
        <w:jc w:val="both"/>
        <w:rPr/>
      </w:pPr>
      <w:r>
        <w:rPr>
          <w:rStyle w:val="Style5"/>
          <w:rFonts w:ascii="標楷體" w:hAnsi="標楷體" w:eastAsia="標楷體"/>
          <w:b/>
          <w:sz w:val="28"/>
          <w:szCs w:val="28"/>
        </w:rPr>
        <w:t>本計畫於核准後實施，如有未盡事宜，得</w:t>
      </w:r>
      <w:r>
        <w:rPr>
          <w:rStyle w:val="Style5"/>
          <w:rFonts w:ascii="標楷體" w:hAnsi="標楷體" w:eastAsia="標楷體"/>
          <w:b/>
          <w:sz w:val="28"/>
          <w:szCs w:val="28"/>
          <w:lang w:eastAsia="zh-TW"/>
        </w:rPr>
        <w:t>簽奉機關首長核定後</w:t>
      </w:r>
      <w:r>
        <w:rPr>
          <w:rStyle w:val="Style5"/>
          <w:rFonts w:ascii="標楷體" w:hAnsi="標楷體" w:eastAsia="標楷體"/>
          <w:b/>
          <w:sz w:val="28"/>
          <w:szCs w:val="28"/>
        </w:rPr>
        <w:t>修正。</w:t>
      </w:r>
      <w:r>
        <w:br w:type="page"/>
      </w:r>
    </w:p>
    <w:p>
      <w:pPr>
        <w:sectPr>
          <w:footerReference w:type="default" r:id="rId2"/>
          <w:type w:val="nextPage"/>
          <w:pgSz w:w="11906" w:h="16838"/>
          <w:pgMar w:left="1418" w:right="1418" w:header="0" w:top="851" w:footer="992" w:bottom="1134" w:gutter="0"/>
          <w:pgNumType w:fmt="decimal"/>
          <w:formProt w:val="false"/>
          <w:textDirection w:val="lrTb"/>
          <w:docGrid w:type="lines" w:linePitch="600" w:charSpace="4294946815"/>
        </w:sectPr>
        <w:pStyle w:val="Style26"/>
        <w:widowControl/>
        <w:rPr>
          <w:rFonts w:ascii="標楷體" w:hAnsi="標楷體" w:eastAsia="標楷體" w:cs="標楷體"/>
          <w:b/>
          <w:b/>
          <w:kern w:val="0"/>
          <w:sz w:val="40"/>
          <w:szCs w:val="32"/>
        </w:rPr>
      </w:pPr>
      <w:r>
        <w:rPr>
          <w:rFonts w:eastAsia="標楷體" w:cs="標楷體" w:ascii="標楷體" w:hAnsi="標楷體"/>
          <w:b/>
          <w:kern w:val="0"/>
          <w:sz w:val="40"/>
          <w:szCs w:val="32"/>
        </w:rPr>
      </w:r>
    </w:p>
    <w:p>
      <w:pPr>
        <w:pStyle w:val="Web"/>
        <w:tabs>
          <w:tab w:val="clear" w:pos="480"/>
        </w:tabs>
        <w:spacing w:lineRule="exact" w:line="380" w:before="0" w:after="0"/>
        <w:ind w:left="641" w:hanging="461"/>
        <w:jc w:val="center"/>
        <w:rPr/>
      </w:pPr>
      <w:r>
        <w:rPr/>
      </w:r>
      <w:r>
        <mc:AlternateContent>
          <mc:Choice Requires="wps">
            <w:drawing>
              <wp:anchor behindDoc="0" distT="0" distB="0" distL="0" distR="0" simplePos="0" locked="0" layoutInCell="1" allowOverlap="1" relativeHeight="8">
                <wp:simplePos x="0" y="0"/>
                <wp:positionH relativeFrom="column">
                  <wp:posOffset>-591820</wp:posOffset>
                </wp:positionH>
                <wp:positionV relativeFrom="paragraph">
                  <wp:posOffset>10160</wp:posOffset>
                </wp:positionV>
                <wp:extent cx="845820" cy="358140"/>
                <wp:effectExtent l="0" t="0" r="0" b="0"/>
                <wp:wrapNone/>
                <wp:docPr id="2" name="文字方塊 21"/>
                <a:graphic xmlns:a="http://schemas.openxmlformats.org/drawingml/2006/main">
                  <a:graphicData uri="http://schemas.microsoft.com/office/word/2010/wordprocessingShape">
                    <wps:wsp>
                      <wps:cNvSpPr txBox="1"/>
                      <wps:spPr>
                        <a:xfrm>
                          <a:off x="0" y="0"/>
                          <a:ext cx="845820" cy="358140"/>
                        </a:xfrm>
                        <a:prstGeom prst="rect"/>
                        <a:ln w="6350">
                          <a:solidFill>
                            <a:srgbClr val="000000"/>
                          </a:solidFill>
                        </a:ln>
                      </wps:spPr>
                      <wps:txbx>
                        <w:txbxContent>
                          <w:p>
                            <w:pPr>
                              <w:pStyle w:val="Style26"/>
                              <w:snapToGrid w:val="false"/>
                              <w:spacing w:lineRule="atLeast" w:line="240"/>
                              <w:jc w:val="center"/>
                              <w:rPr/>
                            </w:pPr>
                            <w:r>
                              <w:rPr>
                                <w:rStyle w:val="Style5"/>
                                <w:rFonts w:ascii="標楷體" w:hAnsi="標楷體" w:eastAsia="標楷體"/>
                                <w:sz w:val="28"/>
                                <w:szCs w:val="28"/>
                              </w:rPr>
                              <w:t>附件</w:t>
                            </w:r>
                          </w:p>
                        </w:txbxContent>
                      </wps:txbx>
                      <wps:bodyPr anchor="ctr" lIns="91440" tIns="45720" rIns="91440" bIns="45720">
                        <a:noAutofit/>
                      </wps:bodyPr>
                    </wps:wsp>
                  </a:graphicData>
                </a:graphic>
              </wp:anchor>
            </w:drawing>
          </mc:Choice>
          <mc:Fallback>
            <w:pict>
              <v:rect strokecolor="#000000" strokeweight="0pt" style="position:absolute;rotation:0;width:66.6pt;height:28.2pt;mso-wrap-distance-left:0pt;mso-wrap-distance-right:0pt;mso-wrap-distance-top:0pt;mso-wrap-distance-bottom:0pt;margin-top:0.8pt;mso-position-vertical-relative:text;margin-left:-46.6pt;mso-position-horizontal-relative:text">
                <v:textbox>
                  <w:txbxContent>
                    <w:p>
                      <w:pPr>
                        <w:pStyle w:val="Style26"/>
                        <w:snapToGrid w:val="false"/>
                        <w:spacing w:lineRule="atLeast" w:line="240"/>
                        <w:jc w:val="center"/>
                        <w:rPr/>
                      </w:pPr>
                      <w:r>
                        <w:rPr>
                          <w:rStyle w:val="Style5"/>
                          <w:rFonts w:ascii="標楷體" w:hAnsi="標楷體" w:eastAsia="標楷體"/>
                          <w:sz w:val="28"/>
                          <w:szCs w:val="28"/>
                        </w:rPr>
                        <w:t>附件</w:t>
                      </w:r>
                    </w:p>
                  </w:txbxContent>
                </v:textbox>
              </v:rect>
            </w:pict>
          </mc:Fallback>
        </mc:AlternateContent>
      </w:r>
    </w:p>
    <w:p>
      <w:pPr>
        <w:pStyle w:val="Web"/>
        <w:tabs>
          <w:tab w:val="clear" w:pos="480"/>
        </w:tabs>
        <w:spacing w:lineRule="exact" w:line="380" w:before="0" w:after="0"/>
        <w:ind w:left="872" w:hanging="692"/>
        <w:jc w:val="center"/>
        <w:rPr>
          <w:rFonts w:ascii="標楷體" w:hAnsi="標楷體" w:eastAsia="標楷體" w:cs="Times New Roman"/>
          <w:b/>
          <w:b/>
          <w:color w:val="auto"/>
          <w:kern w:val="2"/>
          <w:sz w:val="36"/>
          <w:szCs w:val="28"/>
          <w:u w:val="single"/>
        </w:rPr>
      </w:pPr>
      <w:r>
        <w:rPr>
          <w:rFonts w:ascii="標楷體" w:hAnsi="標楷體" w:cs="Times New Roman" w:eastAsia="標楷體"/>
          <w:b/>
          <w:color w:val="auto"/>
          <w:kern w:val="2"/>
          <w:sz w:val="36"/>
          <w:szCs w:val="28"/>
          <w:u w:val="single"/>
        </w:rPr>
        <w:t>○○</w:t>
      </w:r>
      <w:r>
        <w:rPr>
          <w:rFonts w:ascii="標楷體" w:hAnsi="標楷體" w:cs="Times New Roman" w:eastAsia="標楷體"/>
          <w:b/>
          <w:color w:val="auto"/>
          <w:kern w:val="2"/>
          <w:sz w:val="36"/>
          <w:szCs w:val="28"/>
          <w:u w:val="single"/>
        </w:rPr>
        <w:t>機關內部控制自行評估表</w:t>
      </w:r>
    </w:p>
    <w:p>
      <w:pPr>
        <w:pStyle w:val="Web"/>
        <w:tabs>
          <w:tab w:val="clear" w:pos="480"/>
        </w:tabs>
        <w:spacing w:lineRule="exact" w:line="380" w:before="0" w:after="0"/>
        <w:ind w:left="872" w:hanging="692"/>
        <w:jc w:val="center"/>
        <w:rPr>
          <w:rFonts w:ascii="標楷體" w:hAnsi="標楷體" w:eastAsia="標楷體" w:cs="Times New Roman"/>
          <w:b/>
          <w:b/>
          <w:color w:val="auto"/>
          <w:kern w:val="2"/>
          <w:sz w:val="36"/>
          <w:szCs w:val="28"/>
        </w:rPr>
      </w:pPr>
      <w:r>
        <w:rPr>
          <w:rFonts w:ascii="標楷體" w:hAnsi="標楷體" w:cs="Times New Roman" w:eastAsia="標楷體"/>
          <w:b/>
          <w:color w:val="auto"/>
          <w:kern w:val="2"/>
          <w:sz w:val="36"/>
          <w:szCs w:val="28"/>
        </w:rPr>
        <w:t>○○</w:t>
      </w:r>
      <w:r>
        <w:rPr>
          <w:rFonts w:ascii="標楷體" w:hAnsi="標楷體" w:cs="Times New Roman" w:eastAsia="標楷體"/>
          <w:b/>
          <w:color w:val="auto"/>
          <w:kern w:val="2"/>
          <w:sz w:val="36"/>
          <w:szCs w:val="28"/>
        </w:rPr>
        <w:t>年度</w:t>
      </w:r>
    </w:p>
    <w:p>
      <w:pPr>
        <w:pStyle w:val="Web"/>
        <w:tabs>
          <w:tab w:val="clear" w:pos="480"/>
        </w:tabs>
        <w:spacing w:lineRule="exact" w:line="300" w:before="0" w:after="0"/>
        <w:ind w:left="681" w:hanging="1672"/>
        <w:rPr/>
      </w:pPr>
      <w:r>
        <w:rPr>
          <w:rStyle w:val="Style5"/>
          <w:rFonts w:ascii="標楷體" w:hAnsi="標楷體" w:eastAsia="標楷體"/>
          <w:color w:val="auto"/>
          <w:kern w:val="2"/>
          <w:sz w:val="26"/>
          <w:szCs w:val="26"/>
        </w:rPr>
        <w:t>評估單位：</w:t>
      </w:r>
      <w:r>
        <w:rPr>
          <w:rStyle w:val="Style5"/>
          <w:rFonts w:ascii="標楷體" w:hAnsi="標楷體" w:eastAsia="標楷體"/>
          <w:bCs/>
          <w:color w:val="auto"/>
          <w:sz w:val="26"/>
          <w:szCs w:val="26"/>
        </w:rPr>
        <w:t>○○</w:t>
      </w:r>
    </w:p>
    <w:p>
      <w:pPr>
        <w:pStyle w:val="Web"/>
        <w:tabs>
          <w:tab w:val="clear" w:pos="480"/>
        </w:tabs>
        <w:spacing w:lineRule="exact" w:line="300" w:before="0" w:after="0"/>
        <w:ind w:left="681" w:hanging="1672"/>
        <w:rPr/>
      </w:pPr>
      <w:r>
        <w:rPr>
          <w:rStyle w:val="Style5"/>
          <w:rFonts w:ascii="標楷體" w:hAnsi="標楷體" w:eastAsia="標楷體"/>
          <w:bCs/>
          <w:color w:val="auto"/>
          <w:sz w:val="26"/>
          <w:szCs w:val="26"/>
        </w:rPr>
        <w:t>評估期間：○○年○○月○○日至○○年○○月○○日</w:t>
      </w:r>
    </w:p>
    <w:p>
      <w:pPr>
        <w:pStyle w:val="Web"/>
        <w:tabs>
          <w:tab w:val="clear" w:pos="480"/>
          <w:tab w:val="left" w:pos="6946" w:leader="none"/>
        </w:tabs>
        <w:kinsoku w:val="false"/>
        <w:spacing w:lineRule="exact" w:line="300" w:before="0" w:after="0"/>
        <w:ind w:left="679" w:right="-948" w:hanging="499"/>
        <w:jc w:val="right"/>
        <w:rPr>
          <w:rFonts w:ascii="標楷體" w:hAnsi="標楷體" w:eastAsia="標楷體"/>
          <w:bCs/>
          <w:color w:val="auto"/>
          <w:sz w:val="26"/>
          <w:szCs w:val="26"/>
        </w:rPr>
      </w:pPr>
      <w:r>
        <w:rPr>
          <w:rFonts w:ascii="標楷體" w:hAnsi="標楷體" w:eastAsia="標楷體"/>
          <w:bCs/>
          <w:color w:val="auto"/>
          <w:sz w:val="26"/>
          <w:szCs w:val="26"/>
        </w:rPr>
        <w:t xml:space="preserve">         </w:t>
      </w:r>
      <w:r>
        <w:rPr>
          <w:rFonts w:ascii="標楷體" w:hAnsi="標楷體" w:eastAsia="標楷體"/>
          <w:bCs/>
          <w:color w:val="auto"/>
          <w:sz w:val="26"/>
          <w:szCs w:val="26"/>
        </w:rPr>
        <w:t>評估日期：   年   月   日</w:t>
      </w:r>
    </w:p>
    <w:tbl>
      <w:tblPr>
        <w:tblW w:w="10467" w:type="dxa"/>
        <w:jc w:val="center"/>
        <w:tblInd w:w="0" w:type="dxa"/>
        <w:tblCellMar>
          <w:top w:w="0" w:type="dxa"/>
          <w:left w:w="28" w:type="dxa"/>
          <w:bottom w:w="0" w:type="dxa"/>
          <w:right w:w="28" w:type="dxa"/>
        </w:tblCellMar>
      </w:tblPr>
      <w:tblGrid>
        <w:gridCol w:w="4574"/>
        <w:gridCol w:w="616"/>
        <w:gridCol w:w="630"/>
        <w:gridCol w:w="629"/>
        <w:gridCol w:w="576"/>
        <w:gridCol w:w="715"/>
        <w:gridCol w:w="1593"/>
        <w:gridCol w:w="1134"/>
      </w:tblGrid>
      <w:tr>
        <w:trPr>
          <w:tblHeader w:val="true"/>
          <w:trHeight w:val="150" w:hRule="atLeast"/>
        </w:trPr>
        <w:tc>
          <w:tcPr>
            <w:tcW w:w="4574" w:type="dxa"/>
            <w:vMerge w:val="restart"/>
            <w:tcBorders>
              <w:top w:val="single" w:sz="12" w:space="0" w:color="000000"/>
              <w:left w:val="single" w:sz="12" w:space="0" w:color="000000"/>
              <w:bottom w:val="single" w:sz="8" w:space="0" w:color="000000"/>
              <w:right w:val="single" w:sz="8" w:space="0" w:color="000000"/>
            </w:tcBorders>
            <w:shd w:fill="E0E0E0" w:val="clear"/>
            <w:vAlign w:val="center"/>
          </w:tcPr>
          <w:p>
            <w:pPr>
              <w:pStyle w:val="Style26"/>
              <w:snapToGrid w:val="false"/>
              <w:spacing w:lineRule="atLeast" w:line="400"/>
              <w:jc w:val="center"/>
              <w:rPr>
                <w:rFonts w:ascii="標楷體" w:hAnsi="標楷體" w:eastAsia="標楷體"/>
                <w:bCs/>
                <w:kern w:val="0"/>
                <w:sz w:val="26"/>
                <w:szCs w:val="26"/>
              </w:rPr>
            </w:pPr>
            <w:r>
              <w:rPr>
                <w:rFonts w:ascii="標楷體" w:hAnsi="標楷體" w:eastAsia="標楷體"/>
                <w:bCs/>
                <w:kern w:val="0"/>
                <w:sz w:val="26"/>
                <w:szCs w:val="26"/>
              </w:rPr>
              <w:t>評估重點</w:t>
            </w:r>
          </w:p>
        </w:tc>
        <w:tc>
          <w:tcPr>
            <w:tcW w:w="3166" w:type="dxa"/>
            <w:gridSpan w:val="5"/>
            <w:tcBorders>
              <w:top w:val="single" w:sz="12" w:space="0" w:color="000000"/>
              <w:left w:val="single" w:sz="8" w:space="0" w:color="000000"/>
              <w:bottom w:val="single" w:sz="8" w:space="0" w:color="000000"/>
              <w:right w:val="single" w:sz="8" w:space="0" w:color="000000"/>
            </w:tcBorders>
            <w:shd w:fill="E0E0E0" w:val="clear"/>
            <w:vAlign w:val="center"/>
          </w:tcPr>
          <w:p>
            <w:pPr>
              <w:pStyle w:val="Style26"/>
              <w:widowControl/>
              <w:snapToGrid w:val="false"/>
              <w:spacing w:lineRule="atLeast" w:line="400"/>
              <w:jc w:val="center"/>
              <w:rPr>
                <w:rFonts w:ascii="標楷體" w:hAnsi="標楷體" w:eastAsia="標楷體"/>
                <w:bCs/>
                <w:kern w:val="0"/>
                <w:sz w:val="26"/>
                <w:szCs w:val="26"/>
              </w:rPr>
            </w:pPr>
            <w:r>
              <w:rPr>
                <w:rFonts w:ascii="標楷體" w:hAnsi="標楷體" w:eastAsia="標楷體"/>
                <w:bCs/>
                <w:kern w:val="0"/>
                <w:sz w:val="26"/>
                <w:szCs w:val="26"/>
              </w:rPr>
              <w:t>評估情形</w:t>
            </w:r>
          </w:p>
        </w:tc>
        <w:tc>
          <w:tcPr>
            <w:tcW w:w="1593" w:type="dxa"/>
            <w:vMerge w:val="restart"/>
            <w:tcBorders>
              <w:top w:val="single" w:sz="12" w:space="0" w:color="000000"/>
              <w:left w:val="single" w:sz="8" w:space="0" w:color="000000"/>
              <w:bottom w:val="single" w:sz="8" w:space="0" w:color="000000"/>
              <w:right w:val="single" w:sz="8" w:space="0" w:color="000000"/>
            </w:tcBorders>
            <w:shd w:fill="E0E0E0" w:val="clear"/>
            <w:vAlign w:val="center"/>
          </w:tcPr>
          <w:p>
            <w:pPr>
              <w:pStyle w:val="Style26"/>
              <w:widowControl/>
              <w:snapToGrid w:val="false"/>
              <w:spacing w:lineRule="atLeast" w:line="220"/>
              <w:jc w:val="center"/>
              <w:rPr>
                <w:rFonts w:ascii="標楷體" w:hAnsi="標楷體" w:eastAsia="標楷體"/>
                <w:bCs/>
                <w:kern w:val="0"/>
                <w:sz w:val="26"/>
                <w:szCs w:val="26"/>
              </w:rPr>
            </w:pPr>
            <w:r>
              <w:rPr>
                <w:rFonts w:ascii="標楷體" w:hAnsi="標楷體" w:eastAsia="標楷體"/>
                <w:bCs/>
                <w:kern w:val="0"/>
                <w:sz w:val="26"/>
                <w:szCs w:val="26"/>
              </w:rPr>
              <w:t>部分符合</w:t>
            </w:r>
            <w:r>
              <w:rPr>
                <w:rFonts w:eastAsia="標楷體" w:ascii="標楷體" w:hAnsi="標楷體"/>
                <w:bCs/>
                <w:kern w:val="0"/>
                <w:sz w:val="26"/>
                <w:szCs w:val="26"/>
              </w:rPr>
              <w:t>/</w:t>
            </w:r>
            <w:r>
              <w:rPr>
                <w:rFonts w:ascii="標楷體" w:hAnsi="標楷體" w:eastAsia="標楷體"/>
                <w:bCs/>
                <w:kern w:val="0"/>
                <w:sz w:val="26"/>
                <w:szCs w:val="26"/>
              </w:rPr>
              <w:t>未符合</w:t>
            </w:r>
            <w:r>
              <w:rPr>
                <w:rFonts w:eastAsia="標楷體" w:ascii="標楷體" w:hAnsi="標楷體"/>
                <w:bCs/>
                <w:kern w:val="0"/>
                <w:sz w:val="26"/>
                <w:szCs w:val="26"/>
              </w:rPr>
              <w:t>/</w:t>
            </w:r>
            <w:r>
              <w:rPr>
                <w:rFonts w:ascii="標楷體" w:hAnsi="標楷體" w:eastAsia="標楷體"/>
                <w:bCs/>
                <w:kern w:val="0"/>
                <w:sz w:val="26"/>
                <w:szCs w:val="26"/>
              </w:rPr>
              <w:t>不適用情形說明</w:t>
            </w:r>
          </w:p>
        </w:tc>
        <w:tc>
          <w:tcPr>
            <w:tcW w:w="1134" w:type="dxa"/>
            <w:vMerge w:val="restart"/>
            <w:tcBorders>
              <w:top w:val="single" w:sz="12" w:space="0" w:color="000000"/>
              <w:left w:val="single" w:sz="8" w:space="0" w:color="000000"/>
              <w:bottom w:val="single" w:sz="8" w:space="0" w:color="000000"/>
              <w:right w:val="single" w:sz="12" w:space="0" w:color="000000"/>
            </w:tcBorders>
            <w:shd w:fill="E0E0E0" w:val="clear"/>
            <w:vAlign w:val="center"/>
          </w:tcPr>
          <w:p>
            <w:pPr>
              <w:pStyle w:val="Style26"/>
              <w:widowControl/>
              <w:snapToGrid w:val="false"/>
              <w:spacing w:lineRule="atLeast" w:line="240"/>
              <w:jc w:val="center"/>
              <w:rPr/>
            </w:pPr>
            <w:r>
              <w:rPr>
                <w:rStyle w:val="Style5"/>
                <w:rFonts w:ascii="標楷體" w:hAnsi="標楷體" w:eastAsia="標楷體"/>
                <w:bCs/>
                <w:kern w:val="0"/>
                <w:sz w:val="26"/>
                <w:szCs w:val="26"/>
              </w:rPr>
              <w:t>改善措施</w:t>
            </w:r>
            <w:r>
              <w:rPr>
                <w:rStyle w:val="Style5"/>
                <w:rFonts w:eastAsia="標楷體" w:ascii="標楷體" w:hAnsi="標楷體"/>
                <w:bCs/>
                <w:spacing w:val="-12"/>
                <w:kern w:val="0"/>
                <w:sz w:val="26"/>
                <w:szCs w:val="26"/>
              </w:rPr>
              <w:t>/</w:t>
            </w:r>
            <w:r>
              <w:rPr>
                <w:rStyle w:val="Style5"/>
                <w:rFonts w:ascii="標楷體" w:hAnsi="標楷體" w:eastAsia="標楷體"/>
                <w:bCs/>
                <w:spacing w:val="-12"/>
                <w:kern w:val="0"/>
                <w:sz w:val="26"/>
                <w:szCs w:val="26"/>
              </w:rPr>
              <w:t>興革建議</w:t>
            </w:r>
          </w:p>
        </w:tc>
      </w:tr>
      <w:tr>
        <w:trPr>
          <w:tblHeader w:val="true"/>
          <w:trHeight w:val="32" w:hRule="atLeast"/>
        </w:trPr>
        <w:tc>
          <w:tcPr>
            <w:tcW w:w="4574" w:type="dxa"/>
            <w:vMerge w:val="continue"/>
            <w:tcBorders>
              <w:top w:val="single" w:sz="12" w:space="0" w:color="000000"/>
              <w:left w:val="single" w:sz="12" w:space="0" w:color="000000"/>
              <w:bottom w:val="single" w:sz="8" w:space="0" w:color="000000"/>
              <w:right w:val="single" w:sz="8" w:space="0" w:color="000000"/>
            </w:tcBorders>
            <w:shd w:fill="E0E0E0" w:val="clear"/>
            <w:vAlign w:val="center"/>
          </w:tcPr>
          <w:p>
            <w:pPr>
              <w:pStyle w:val="Normal"/>
              <w:rPr/>
            </w:pPr>
            <w:r>
              <w:rPr/>
            </w:r>
          </w:p>
        </w:tc>
        <w:tc>
          <w:tcPr>
            <w:tcW w:w="616" w:type="dxa"/>
            <w:tcBorders>
              <w:top w:val="single" w:sz="8" w:space="0" w:color="000000"/>
              <w:left w:val="single" w:sz="8" w:space="0" w:color="000000"/>
              <w:bottom w:val="single" w:sz="8" w:space="0" w:color="000000"/>
              <w:right w:val="single" w:sz="8" w:space="0" w:color="000000"/>
            </w:tcBorders>
            <w:shd w:fill="E0E0E0" w:val="clear"/>
            <w:vAlign w:val="center"/>
          </w:tcPr>
          <w:p>
            <w:pPr>
              <w:pStyle w:val="Style26"/>
              <w:snapToGrid w:val="false"/>
              <w:spacing w:lineRule="atLeast" w:line="400"/>
              <w:jc w:val="center"/>
              <w:rPr>
                <w:rFonts w:ascii="標楷體" w:hAnsi="標楷體" w:eastAsia="標楷體"/>
                <w:bCs/>
                <w:kern w:val="0"/>
                <w:sz w:val="26"/>
                <w:szCs w:val="26"/>
              </w:rPr>
            </w:pPr>
            <w:r>
              <w:rPr>
                <w:rFonts w:ascii="標楷體" w:hAnsi="標楷體" w:eastAsia="標楷體"/>
                <w:bCs/>
                <w:kern w:val="0"/>
                <w:sz w:val="26"/>
                <w:szCs w:val="26"/>
              </w:rPr>
              <w:t>符合</w:t>
            </w:r>
          </w:p>
        </w:tc>
        <w:tc>
          <w:tcPr>
            <w:tcW w:w="630" w:type="dxa"/>
            <w:tcBorders>
              <w:top w:val="single" w:sz="8" w:space="0" w:color="000000"/>
              <w:left w:val="single" w:sz="8" w:space="0" w:color="000000"/>
              <w:bottom w:val="single" w:sz="8" w:space="0" w:color="000000"/>
              <w:right w:val="single" w:sz="8" w:space="0" w:color="000000"/>
            </w:tcBorders>
            <w:shd w:fill="E0E0E0" w:val="clear"/>
            <w:vAlign w:val="center"/>
          </w:tcPr>
          <w:p>
            <w:pPr>
              <w:pStyle w:val="Style26"/>
              <w:snapToGrid w:val="false"/>
              <w:spacing w:lineRule="atLeast" w:line="400"/>
              <w:jc w:val="center"/>
              <w:rPr>
                <w:rFonts w:ascii="標楷體" w:hAnsi="標楷體" w:eastAsia="標楷體"/>
                <w:bCs/>
                <w:kern w:val="0"/>
                <w:sz w:val="26"/>
                <w:szCs w:val="26"/>
              </w:rPr>
            </w:pPr>
            <w:r>
              <w:rPr>
                <w:rFonts w:ascii="標楷體" w:hAnsi="標楷體" w:eastAsia="標楷體"/>
                <w:bCs/>
                <w:kern w:val="0"/>
                <w:sz w:val="26"/>
                <w:szCs w:val="26"/>
              </w:rPr>
              <w:t>部分符合</w:t>
            </w:r>
          </w:p>
        </w:tc>
        <w:tc>
          <w:tcPr>
            <w:tcW w:w="629" w:type="dxa"/>
            <w:tcBorders>
              <w:top w:val="single" w:sz="8" w:space="0" w:color="000000"/>
              <w:left w:val="single" w:sz="8" w:space="0" w:color="000000"/>
              <w:bottom w:val="single" w:sz="8" w:space="0" w:color="000000"/>
              <w:right w:val="single" w:sz="8" w:space="0" w:color="000000"/>
            </w:tcBorders>
            <w:shd w:fill="E0E0E0" w:val="clear"/>
            <w:vAlign w:val="center"/>
          </w:tcPr>
          <w:p>
            <w:pPr>
              <w:pStyle w:val="Style26"/>
              <w:snapToGrid w:val="false"/>
              <w:spacing w:lineRule="atLeast" w:line="400"/>
              <w:jc w:val="center"/>
              <w:rPr>
                <w:rFonts w:ascii="標楷體" w:hAnsi="標楷體" w:eastAsia="標楷體"/>
                <w:bCs/>
                <w:kern w:val="0"/>
                <w:sz w:val="26"/>
                <w:szCs w:val="26"/>
              </w:rPr>
            </w:pPr>
            <w:r>
              <w:rPr>
                <w:rFonts w:ascii="標楷體" w:hAnsi="標楷體" w:eastAsia="標楷體"/>
                <w:bCs/>
                <w:kern w:val="0"/>
                <w:sz w:val="26"/>
                <w:szCs w:val="26"/>
              </w:rPr>
              <w:t>未符合</w:t>
            </w:r>
          </w:p>
        </w:tc>
        <w:tc>
          <w:tcPr>
            <w:tcW w:w="576" w:type="dxa"/>
            <w:tcBorders>
              <w:top w:val="single" w:sz="8" w:space="0" w:color="000000"/>
              <w:left w:val="single" w:sz="8" w:space="0" w:color="000000"/>
              <w:bottom w:val="single" w:sz="8" w:space="0" w:color="000000"/>
              <w:right w:val="single" w:sz="8" w:space="0" w:color="000000"/>
            </w:tcBorders>
            <w:shd w:fill="E0E0E0" w:val="clear"/>
            <w:vAlign w:val="center"/>
          </w:tcPr>
          <w:p>
            <w:pPr>
              <w:pStyle w:val="Style26"/>
              <w:snapToGrid w:val="false"/>
              <w:spacing w:lineRule="atLeast" w:line="400"/>
              <w:jc w:val="center"/>
              <w:rPr>
                <w:rFonts w:ascii="標楷體" w:hAnsi="標楷體" w:eastAsia="標楷體"/>
                <w:bCs/>
                <w:kern w:val="0"/>
                <w:sz w:val="26"/>
                <w:szCs w:val="26"/>
              </w:rPr>
            </w:pPr>
            <w:r>
              <w:rPr>
                <w:rFonts w:ascii="標楷體" w:hAnsi="標楷體" w:eastAsia="標楷體"/>
                <w:bCs/>
                <w:kern w:val="0"/>
                <w:sz w:val="26"/>
                <w:szCs w:val="26"/>
              </w:rPr>
              <w:t>未發生</w:t>
            </w:r>
          </w:p>
        </w:tc>
        <w:tc>
          <w:tcPr>
            <w:tcW w:w="715" w:type="dxa"/>
            <w:tcBorders>
              <w:top w:val="single" w:sz="8" w:space="0" w:color="000000"/>
              <w:left w:val="single" w:sz="8" w:space="0" w:color="000000"/>
              <w:bottom w:val="single" w:sz="8" w:space="0" w:color="000000"/>
              <w:right w:val="single" w:sz="8" w:space="0" w:color="000000"/>
            </w:tcBorders>
            <w:shd w:fill="E0E0E0" w:val="clear"/>
            <w:vAlign w:val="center"/>
          </w:tcPr>
          <w:p>
            <w:pPr>
              <w:pStyle w:val="Style26"/>
              <w:snapToGrid w:val="false"/>
              <w:spacing w:lineRule="atLeast" w:line="400"/>
              <w:jc w:val="center"/>
              <w:rPr>
                <w:rFonts w:ascii="標楷體" w:hAnsi="標楷體" w:eastAsia="標楷體"/>
                <w:bCs/>
                <w:kern w:val="0"/>
                <w:sz w:val="26"/>
                <w:szCs w:val="26"/>
              </w:rPr>
            </w:pPr>
            <w:r>
              <w:rPr>
                <w:rFonts w:ascii="標楷體" w:hAnsi="標楷體" w:eastAsia="標楷體"/>
                <w:bCs/>
                <w:kern w:val="0"/>
                <w:sz w:val="26"/>
                <w:szCs w:val="26"/>
              </w:rPr>
              <w:t>不適用</w:t>
            </w:r>
          </w:p>
        </w:tc>
        <w:tc>
          <w:tcPr>
            <w:tcW w:w="1593" w:type="dxa"/>
            <w:vMerge w:val="continue"/>
            <w:tcBorders>
              <w:top w:val="single" w:sz="12" w:space="0" w:color="000000"/>
              <w:left w:val="single" w:sz="8" w:space="0" w:color="000000"/>
              <w:bottom w:val="single" w:sz="8" w:space="0" w:color="000000"/>
              <w:right w:val="single" w:sz="8" w:space="0" w:color="000000"/>
            </w:tcBorders>
            <w:shd w:fill="E0E0E0" w:val="clear"/>
            <w:vAlign w:val="center"/>
          </w:tcPr>
          <w:p>
            <w:pPr>
              <w:pStyle w:val="Normal"/>
              <w:rPr/>
            </w:pPr>
            <w:r>
              <w:rPr/>
            </w:r>
          </w:p>
        </w:tc>
        <w:tc>
          <w:tcPr>
            <w:tcW w:w="1134" w:type="dxa"/>
            <w:vMerge w:val="continue"/>
            <w:tcBorders>
              <w:top w:val="single" w:sz="12" w:space="0" w:color="000000"/>
              <w:left w:val="single" w:sz="8" w:space="0" w:color="000000"/>
              <w:bottom w:val="single" w:sz="8" w:space="0" w:color="000000"/>
              <w:right w:val="single" w:sz="12" w:space="0" w:color="000000"/>
            </w:tcBorders>
            <w:shd w:fill="E0E0E0" w:val="clear"/>
            <w:vAlign w:val="center"/>
          </w:tcPr>
          <w:p>
            <w:pPr>
              <w:pStyle w:val="Normal"/>
              <w:rPr/>
            </w:pPr>
            <w:r>
              <w:rPr/>
            </w:r>
          </w:p>
        </w:tc>
      </w:tr>
      <w:tr>
        <w:trPr>
          <w:trHeight w:val="1743" w:hRule="atLeast"/>
        </w:trPr>
        <w:tc>
          <w:tcPr>
            <w:tcW w:w="4574" w:type="dxa"/>
            <w:tcBorders>
              <w:top w:val="single" w:sz="8" w:space="0" w:color="000000"/>
              <w:left w:val="single" w:sz="12" w:space="0" w:color="000000"/>
              <w:bottom w:val="single" w:sz="8" w:space="0" w:color="000000"/>
              <w:right w:val="single" w:sz="8" w:space="0" w:color="000000"/>
            </w:tcBorders>
            <w:shd w:fill="auto" w:val="clear"/>
          </w:tcPr>
          <w:p>
            <w:pPr>
              <w:pStyle w:val="Style26"/>
              <w:widowControl/>
              <w:tabs>
                <w:tab w:val="clear" w:pos="480"/>
              </w:tabs>
              <w:snapToGrid w:val="false"/>
              <w:spacing w:lineRule="atLeast" w:line="360"/>
              <w:ind w:left="520" w:hanging="520"/>
              <w:jc w:val="both"/>
              <w:rPr>
                <w:rFonts w:ascii="標楷體" w:hAnsi="標楷體" w:eastAsia="標楷體"/>
                <w:sz w:val="26"/>
                <w:szCs w:val="26"/>
              </w:rPr>
            </w:pPr>
            <w:r>
              <w:rPr>
                <w:rFonts w:ascii="標楷體" w:hAnsi="標楷體" w:eastAsia="標楷體"/>
                <w:sz w:val="26"/>
                <w:szCs w:val="26"/>
              </w:rPr>
              <w:t>一、評估機關目標無法達成之風險，並決定需優先處理之風險項目，以及定期滾動檢討風險評估，以因應內部及外部環境之改變。</w:t>
            </w:r>
          </w:p>
        </w:tc>
        <w:tc>
          <w:tcPr>
            <w:tcW w:w="616"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630"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snapToGrid w:val="false"/>
              <w:spacing w:lineRule="atLeast" w:line="400"/>
              <w:rPr>
                <w:rFonts w:ascii="標楷體" w:hAnsi="標楷體" w:eastAsia="標楷體"/>
                <w:bCs/>
                <w:kern w:val="0"/>
                <w:sz w:val="26"/>
                <w:szCs w:val="26"/>
              </w:rPr>
            </w:pPr>
            <w:r>
              <w:rPr>
                <w:rFonts w:eastAsia="標楷體" w:ascii="標楷體" w:hAnsi="標楷體"/>
                <w:bCs/>
                <w:kern w:val="0"/>
                <w:sz w:val="26"/>
                <w:szCs w:val="26"/>
              </w:rPr>
            </w:r>
          </w:p>
        </w:tc>
        <w:tc>
          <w:tcPr>
            <w:tcW w:w="629"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576"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715"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593"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134" w:type="dxa"/>
            <w:tcBorders>
              <w:top w:val="single" w:sz="8" w:space="0" w:color="000000"/>
              <w:left w:val="single" w:sz="8" w:space="0" w:color="000000"/>
              <w:bottom w:val="single" w:sz="8" w:space="0" w:color="000000"/>
              <w:right w:val="single" w:sz="12" w:space="0" w:color="000000"/>
            </w:tcBorders>
            <w:shd w:fill="auto" w:val="clear"/>
            <w:vAlign w:val="center"/>
          </w:tcPr>
          <w:p>
            <w:pPr>
              <w:pStyle w:val="Style26"/>
              <w:widowControl/>
              <w:snapToGrid w:val="false"/>
              <w:spacing w:lineRule="atLeast" w:line="400"/>
              <w:rPr>
                <w:rFonts w:ascii="標楷體" w:hAnsi="標楷體" w:eastAsia="標楷體"/>
                <w:bCs/>
                <w:kern w:val="0"/>
              </w:rPr>
            </w:pPr>
            <w:r>
              <w:rPr>
                <w:rFonts w:eastAsia="標楷體" w:ascii="標楷體" w:hAnsi="標楷體"/>
                <w:bCs/>
                <w:kern w:val="0"/>
              </w:rPr>
            </w:r>
          </w:p>
        </w:tc>
      </w:tr>
      <w:tr>
        <w:trPr>
          <w:trHeight w:val="1420" w:hRule="atLeast"/>
        </w:trPr>
        <w:tc>
          <w:tcPr>
            <w:tcW w:w="4574" w:type="dxa"/>
            <w:tcBorders>
              <w:top w:val="single" w:sz="8" w:space="0" w:color="000000"/>
              <w:left w:val="single" w:sz="12" w:space="0" w:color="000000"/>
              <w:bottom w:val="single" w:sz="8" w:space="0" w:color="000000"/>
              <w:right w:val="single" w:sz="8" w:space="0" w:color="000000"/>
            </w:tcBorders>
            <w:shd w:fill="auto" w:val="clear"/>
          </w:tcPr>
          <w:p>
            <w:pPr>
              <w:pStyle w:val="Style26"/>
              <w:widowControl/>
              <w:tabs>
                <w:tab w:val="clear" w:pos="480"/>
              </w:tabs>
              <w:snapToGrid w:val="false"/>
              <w:spacing w:lineRule="atLeast" w:line="360"/>
              <w:ind w:left="520" w:hanging="520"/>
              <w:jc w:val="both"/>
              <w:rPr>
                <w:rFonts w:ascii="標楷體" w:hAnsi="標楷體" w:eastAsia="標楷體"/>
                <w:sz w:val="26"/>
                <w:szCs w:val="26"/>
              </w:rPr>
            </w:pPr>
            <w:r>
              <w:rPr>
                <w:rFonts w:ascii="標楷體" w:hAnsi="標楷體" w:eastAsia="標楷體"/>
                <w:sz w:val="26"/>
                <w:szCs w:val="26"/>
              </w:rPr>
              <w:t>二、依據各項業務性質與時俱進檢討不合時宜之控制作業及作業流程，並落實執行各項控制作業。</w:t>
            </w:r>
          </w:p>
        </w:tc>
        <w:tc>
          <w:tcPr>
            <w:tcW w:w="616"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630"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snapToGrid w:val="false"/>
              <w:spacing w:lineRule="atLeast" w:line="400"/>
              <w:rPr>
                <w:rFonts w:ascii="標楷體" w:hAnsi="標楷體" w:eastAsia="標楷體"/>
                <w:bCs/>
                <w:kern w:val="0"/>
                <w:sz w:val="26"/>
                <w:szCs w:val="26"/>
              </w:rPr>
            </w:pPr>
            <w:r>
              <w:rPr>
                <w:rFonts w:eastAsia="標楷體" w:ascii="標楷體" w:hAnsi="標楷體"/>
                <w:bCs/>
                <w:kern w:val="0"/>
                <w:sz w:val="26"/>
                <w:szCs w:val="26"/>
              </w:rPr>
            </w:r>
          </w:p>
        </w:tc>
        <w:tc>
          <w:tcPr>
            <w:tcW w:w="629"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576"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715"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593"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134" w:type="dxa"/>
            <w:tcBorders>
              <w:top w:val="single" w:sz="8" w:space="0" w:color="000000"/>
              <w:left w:val="single" w:sz="8" w:space="0" w:color="000000"/>
              <w:bottom w:val="single" w:sz="8" w:space="0" w:color="000000"/>
              <w:right w:val="single" w:sz="12" w:space="0" w:color="000000"/>
            </w:tcBorders>
            <w:shd w:fill="auto" w:val="clear"/>
            <w:vAlign w:val="center"/>
          </w:tcPr>
          <w:p>
            <w:pPr>
              <w:pStyle w:val="Style26"/>
              <w:widowControl/>
              <w:snapToGrid w:val="false"/>
              <w:spacing w:lineRule="atLeast" w:line="400"/>
              <w:rPr>
                <w:rFonts w:ascii="標楷體" w:hAnsi="標楷體" w:eastAsia="標楷體"/>
                <w:bCs/>
                <w:kern w:val="0"/>
              </w:rPr>
            </w:pPr>
            <w:r>
              <w:rPr>
                <w:rFonts w:eastAsia="標楷體" w:ascii="標楷體" w:hAnsi="標楷體"/>
                <w:bCs/>
                <w:kern w:val="0"/>
              </w:rPr>
            </w:r>
          </w:p>
        </w:tc>
      </w:tr>
      <w:tr>
        <w:trPr>
          <w:trHeight w:val="1417" w:hRule="atLeast"/>
        </w:trPr>
        <w:tc>
          <w:tcPr>
            <w:tcW w:w="4574" w:type="dxa"/>
            <w:tcBorders>
              <w:top w:val="single" w:sz="8" w:space="0" w:color="000000"/>
              <w:left w:val="single" w:sz="12" w:space="0" w:color="000000"/>
              <w:bottom w:val="single" w:sz="8" w:space="0" w:color="000000"/>
              <w:right w:val="single" w:sz="8" w:space="0" w:color="000000"/>
            </w:tcBorders>
            <w:shd w:fill="auto" w:val="clear"/>
          </w:tcPr>
          <w:p>
            <w:pPr>
              <w:pStyle w:val="Style26"/>
              <w:widowControl/>
              <w:tabs>
                <w:tab w:val="clear" w:pos="480"/>
              </w:tabs>
              <w:snapToGrid w:val="false"/>
              <w:spacing w:lineRule="atLeast" w:line="360"/>
              <w:ind w:left="520" w:hanging="520"/>
              <w:jc w:val="both"/>
              <w:rPr>
                <w:rFonts w:ascii="標楷體" w:hAnsi="標楷體" w:eastAsia="標楷體"/>
                <w:sz w:val="26"/>
                <w:szCs w:val="26"/>
              </w:rPr>
            </w:pPr>
            <w:r>
              <w:rPr>
                <w:rFonts w:ascii="標楷體" w:hAnsi="標楷體" w:eastAsia="標楷體"/>
                <w:sz w:val="26"/>
                <w:szCs w:val="26"/>
              </w:rPr>
              <w:t>三、建立檢討主管法令規定機制，並針對外界意見或執行缺失部分即時檢討相關法令規定。</w:t>
            </w:r>
          </w:p>
        </w:tc>
        <w:tc>
          <w:tcPr>
            <w:tcW w:w="616"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630"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snapToGrid w:val="false"/>
              <w:spacing w:lineRule="atLeast" w:line="400"/>
              <w:rPr>
                <w:rFonts w:ascii="標楷體" w:hAnsi="標楷體" w:eastAsia="標楷體"/>
                <w:bCs/>
                <w:kern w:val="0"/>
                <w:sz w:val="26"/>
                <w:szCs w:val="26"/>
              </w:rPr>
            </w:pPr>
            <w:r>
              <w:rPr>
                <w:rFonts w:eastAsia="標楷體" w:ascii="標楷體" w:hAnsi="標楷體"/>
                <w:bCs/>
                <w:kern w:val="0"/>
                <w:sz w:val="26"/>
                <w:szCs w:val="26"/>
              </w:rPr>
            </w:r>
          </w:p>
        </w:tc>
        <w:tc>
          <w:tcPr>
            <w:tcW w:w="629"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576"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715"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593"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134" w:type="dxa"/>
            <w:tcBorders>
              <w:top w:val="single" w:sz="8" w:space="0" w:color="000000"/>
              <w:left w:val="single" w:sz="8" w:space="0" w:color="000000"/>
              <w:bottom w:val="single" w:sz="8" w:space="0" w:color="000000"/>
              <w:right w:val="single" w:sz="12" w:space="0" w:color="000000"/>
            </w:tcBorders>
            <w:shd w:fill="auto" w:val="clear"/>
            <w:vAlign w:val="center"/>
          </w:tcPr>
          <w:p>
            <w:pPr>
              <w:pStyle w:val="Style26"/>
              <w:widowControl/>
              <w:snapToGrid w:val="false"/>
              <w:spacing w:lineRule="atLeast" w:line="400"/>
              <w:rPr>
                <w:rFonts w:ascii="標楷體" w:hAnsi="標楷體" w:eastAsia="標楷體"/>
                <w:bCs/>
                <w:kern w:val="0"/>
              </w:rPr>
            </w:pPr>
            <w:r>
              <w:rPr>
                <w:rFonts w:eastAsia="標楷體" w:ascii="標楷體" w:hAnsi="標楷體"/>
                <w:bCs/>
                <w:kern w:val="0"/>
              </w:rPr>
            </w:r>
          </w:p>
        </w:tc>
      </w:tr>
      <w:tr>
        <w:trPr>
          <w:trHeight w:val="697" w:hRule="atLeast"/>
        </w:trPr>
        <w:tc>
          <w:tcPr>
            <w:tcW w:w="4574" w:type="dxa"/>
            <w:tcBorders>
              <w:top w:val="single" w:sz="8" w:space="0" w:color="000000"/>
              <w:left w:val="single" w:sz="12" w:space="0" w:color="000000"/>
              <w:bottom w:val="single" w:sz="8" w:space="0" w:color="000000"/>
              <w:right w:val="single" w:sz="8" w:space="0" w:color="000000"/>
            </w:tcBorders>
            <w:shd w:fill="auto" w:val="clear"/>
          </w:tcPr>
          <w:p>
            <w:pPr>
              <w:pStyle w:val="Style26"/>
              <w:widowControl/>
              <w:tabs>
                <w:tab w:val="clear" w:pos="480"/>
              </w:tabs>
              <w:snapToGrid w:val="false"/>
              <w:spacing w:lineRule="atLeast" w:line="360"/>
              <w:ind w:left="520" w:hanging="520"/>
              <w:jc w:val="both"/>
              <w:rPr>
                <w:rFonts w:ascii="標楷體" w:hAnsi="標楷體" w:eastAsia="標楷體"/>
                <w:sz w:val="26"/>
                <w:szCs w:val="26"/>
              </w:rPr>
            </w:pPr>
            <w:r>
              <w:rPr>
                <w:rFonts w:ascii="標楷體" w:hAnsi="標楷體" w:eastAsia="標楷體"/>
                <w:sz w:val="26"/>
                <w:szCs w:val="26"/>
              </w:rPr>
              <w:t>四、遵循相關法令規定或契約。</w:t>
            </w:r>
          </w:p>
        </w:tc>
        <w:tc>
          <w:tcPr>
            <w:tcW w:w="616"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630"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snapToGrid w:val="false"/>
              <w:spacing w:lineRule="atLeast" w:line="400"/>
              <w:rPr>
                <w:rFonts w:ascii="標楷體" w:hAnsi="標楷體" w:eastAsia="標楷體"/>
                <w:bCs/>
                <w:kern w:val="0"/>
                <w:sz w:val="26"/>
                <w:szCs w:val="26"/>
              </w:rPr>
            </w:pPr>
            <w:r>
              <w:rPr>
                <w:rFonts w:eastAsia="標楷體" w:ascii="標楷體" w:hAnsi="標楷體"/>
                <w:bCs/>
                <w:kern w:val="0"/>
                <w:sz w:val="26"/>
                <w:szCs w:val="26"/>
              </w:rPr>
            </w:r>
          </w:p>
        </w:tc>
        <w:tc>
          <w:tcPr>
            <w:tcW w:w="629"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576"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715"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593"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134" w:type="dxa"/>
            <w:tcBorders>
              <w:top w:val="single" w:sz="8" w:space="0" w:color="000000"/>
              <w:left w:val="single" w:sz="8" w:space="0" w:color="000000"/>
              <w:bottom w:val="single" w:sz="8" w:space="0" w:color="000000"/>
              <w:right w:val="single" w:sz="12" w:space="0" w:color="000000"/>
            </w:tcBorders>
            <w:shd w:fill="auto" w:val="clear"/>
            <w:vAlign w:val="center"/>
          </w:tcPr>
          <w:p>
            <w:pPr>
              <w:pStyle w:val="Style26"/>
              <w:widowControl/>
              <w:snapToGrid w:val="false"/>
              <w:spacing w:lineRule="atLeast" w:line="400"/>
              <w:rPr>
                <w:rFonts w:ascii="標楷體" w:hAnsi="標楷體" w:eastAsia="標楷體"/>
                <w:bCs/>
                <w:kern w:val="0"/>
              </w:rPr>
            </w:pPr>
            <w:r>
              <w:rPr>
                <w:rFonts w:eastAsia="標楷體" w:ascii="標楷體" w:hAnsi="標楷體"/>
                <w:bCs/>
                <w:kern w:val="0"/>
              </w:rPr>
            </w:r>
          </w:p>
        </w:tc>
      </w:tr>
      <w:tr>
        <w:trPr>
          <w:trHeight w:val="2320" w:hRule="atLeast"/>
        </w:trPr>
        <w:tc>
          <w:tcPr>
            <w:tcW w:w="4574" w:type="dxa"/>
            <w:tcBorders>
              <w:top w:val="single" w:sz="8" w:space="0" w:color="000000"/>
              <w:left w:val="single" w:sz="12" w:space="0" w:color="000000"/>
              <w:bottom w:val="single" w:sz="8" w:space="0" w:color="000000"/>
              <w:right w:val="single" w:sz="8" w:space="0" w:color="000000"/>
            </w:tcBorders>
            <w:shd w:fill="auto" w:val="clear"/>
          </w:tcPr>
          <w:p>
            <w:pPr>
              <w:pStyle w:val="Style26"/>
              <w:widowControl/>
              <w:tabs>
                <w:tab w:val="clear" w:pos="480"/>
              </w:tabs>
              <w:snapToGrid w:val="false"/>
              <w:spacing w:lineRule="atLeast" w:line="360"/>
              <w:ind w:left="468" w:hanging="468"/>
              <w:jc w:val="both"/>
              <w:rPr/>
            </w:pPr>
            <w:r>
              <w:rPr>
                <w:rStyle w:val="Style5"/>
                <w:rFonts w:ascii="標楷體" w:hAnsi="標楷體" w:eastAsia="標楷體"/>
                <w:sz w:val="26"/>
                <w:szCs w:val="26"/>
              </w:rPr>
              <w:t>五、就涉及人民權利或義務之主管業務建立適當之檢核、審查、追蹤、管制或考核等管理機制，並除依法公開外，另依風險評估結果，推動其行政作業流程透明措施，以利外部監督及型</w:t>
            </w:r>
            <w:r>
              <w:rPr>
                <w:rStyle w:val="Style5"/>
                <w:rFonts w:eastAsia="標楷體"/>
                <w:sz w:val="28"/>
                <w:szCs w:val="28"/>
              </w:rPr>
              <w:t>塑廉能政府</w:t>
            </w:r>
            <w:r>
              <w:rPr>
                <w:rStyle w:val="Style5"/>
                <w:rFonts w:ascii="標楷體" w:hAnsi="標楷體" w:eastAsia="標楷體"/>
                <w:sz w:val="26"/>
                <w:szCs w:val="26"/>
              </w:rPr>
              <w:t>。</w:t>
            </w:r>
          </w:p>
        </w:tc>
        <w:tc>
          <w:tcPr>
            <w:tcW w:w="616"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630"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snapToGrid w:val="false"/>
              <w:spacing w:lineRule="atLeast" w:line="400"/>
              <w:rPr>
                <w:rFonts w:ascii="標楷體" w:hAnsi="標楷體" w:eastAsia="標楷體"/>
                <w:bCs/>
                <w:kern w:val="0"/>
                <w:sz w:val="26"/>
                <w:szCs w:val="26"/>
              </w:rPr>
            </w:pPr>
            <w:r>
              <w:rPr>
                <w:rFonts w:eastAsia="標楷體" w:ascii="標楷體" w:hAnsi="標楷體"/>
                <w:bCs/>
                <w:kern w:val="0"/>
                <w:sz w:val="26"/>
                <w:szCs w:val="26"/>
              </w:rPr>
            </w:r>
          </w:p>
        </w:tc>
        <w:tc>
          <w:tcPr>
            <w:tcW w:w="629"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576"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715"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593"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134" w:type="dxa"/>
            <w:tcBorders>
              <w:top w:val="single" w:sz="8" w:space="0" w:color="000000"/>
              <w:left w:val="single" w:sz="8" w:space="0" w:color="000000"/>
              <w:bottom w:val="single" w:sz="8" w:space="0" w:color="000000"/>
              <w:right w:val="single" w:sz="12" w:space="0" w:color="000000"/>
            </w:tcBorders>
            <w:shd w:fill="auto" w:val="clear"/>
            <w:vAlign w:val="center"/>
          </w:tcPr>
          <w:p>
            <w:pPr>
              <w:pStyle w:val="Style26"/>
              <w:widowControl/>
              <w:snapToGrid w:val="false"/>
              <w:spacing w:lineRule="atLeast" w:line="400"/>
              <w:rPr>
                <w:rFonts w:ascii="標楷體" w:hAnsi="標楷體" w:eastAsia="標楷體"/>
                <w:bCs/>
                <w:kern w:val="0"/>
              </w:rPr>
            </w:pPr>
            <w:r>
              <w:rPr>
                <w:rFonts w:eastAsia="標楷體" w:ascii="標楷體" w:hAnsi="標楷體"/>
                <w:bCs/>
                <w:kern w:val="0"/>
              </w:rPr>
            </w:r>
          </w:p>
        </w:tc>
      </w:tr>
      <w:tr>
        <w:trPr>
          <w:trHeight w:val="1024" w:hRule="atLeast"/>
        </w:trPr>
        <w:tc>
          <w:tcPr>
            <w:tcW w:w="4574" w:type="dxa"/>
            <w:tcBorders>
              <w:top w:val="single" w:sz="8" w:space="0" w:color="000000"/>
              <w:left w:val="single" w:sz="12" w:space="0" w:color="000000"/>
              <w:bottom w:val="single" w:sz="8" w:space="0" w:color="000000"/>
              <w:right w:val="single" w:sz="8" w:space="0" w:color="000000"/>
            </w:tcBorders>
            <w:shd w:fill="auto" w:val="clear"/>
          </w:tcPr>
          <w:p>
            <w:pPr>
              <w:pStyle w:val="Style26"/>
              <w:widowControl/>
              <w:tabs>
                <w:tab w:val="clear" w:pos="480"/>
              </w:tabs>
              <w:snapToGrid w:val="false"/>
              <w:spacing w:lineRule="atLeast" w:line="360"/>
              <w:ind w:left="468" w:hanging="468"/>
              <w:jc w:val="both"/>
              <w:rPr>
                <w:rFonts w:ascii="標楷體" w:hAnsi="標楷體" w:eastAsia="標楷體"/>
                <w:sz w:val="26"/>
                <w:szCs w:val="26"/>
              </w:rPr>
            </w:pPr>
            <w:r>
              <w:rPr>
                <w:rFonts w:ascii="標楷體" w:hAnsi="標楷體" w:eastAsia="標楷體"/>
                <w:sz w:val="26"/>
                <w:szCs w:val="26"/>
              </w:rPr>
              <w:t>六、就主管業務對相關機關或單位善盡監理、督導或輔導等責任。</w:t>
            </w:r>
          </w:p>
        </w:tc>
        <w:tc>
          <w:tcPr>
            <w:tcW w:w="616"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630"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snapToGrid w:val="false"/>
              <w:spacing w:lineRule="atLeast" w:line="400"/>
              <w:rPr>
                <w:rFonts w:ascii="標楷體" w:hAnsi="標楷體" w:eastAsia="標楷體"/>
                <w:bCs/>
                <w:kern w:val="0"/>
                <w:sz w:val="26"/>
                <w:szCs w:val="26"/>
              </w:rPr>
            </w:pPr>
            <w:r>
              <w:rPr>
                <w:rFonts w:eastAsia="標楷體" w:ascii="標楷體" w:hAnsi="標楷體"/>
                <w:bCs/>
                <w:kern w:val="0"/>
                <w:sz w:val="26"/>
                <w:szCs w:val="26"/>
              </w:rPr>
            </w:r>
          </w:p>
        </w:tc>
        <w:tc>
          <w:tcPr>
            <w:tcW w:w="629"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576"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715"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593" w:type="dxa"/>
            <w:tcBorders>
              <w:top w:val="single" w:sz="8" w:space="0" w:color="000000"/>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134" w:type="dxa"/>
            <w:tcBorders>
              <w:top w:val="single" w:sz="8" w:space="0" w:color="000000"/>
              <w:left w:val="single" w:sz="8" w:space="0" w:color="000000"/>
              <w:bottom w:val="single" w:sz="8" w:space="0" w:color="000000"/>
              <w:right w:val="single" w:sz="12" w:space="0" w:color="000000"/>
            </w:tcBorders>
            <w:shd w:fill="auto" w:val="clear"/>
            <w:vAlign w:val="center"/>
          </w:tcPr>
          <w:p>
            <w:pPr>
              <w:pStyle w:val="Style26"/>
              <w:widowControl/>
              <w:snapToGrid w:val="false"/>
              <w:spacing w:lineRule="atLeast" w:line="400"/>
              <w:rPr>
                <w:rFonts w:ascii="標楷體" w:hAnsi="標楷體" w:eastAsia="標楷體"/>
                <w:bCs/>
                <w:kern w:val="0"/>
              </w:rPr>
            </w:pPr>
            <w:r>
              <w:rPr>
                <w:rFonts w:eastAsia="標楷體" w:ascii="標楷體" w:hAnsi="標楷體"/>
                <w:bCs/>
                <w:kern w:val="0"/>
              </w:rPr>
            </w:r>
          </w:p>
        </w:tc>
      </w:tr>
      <w:tr>
        <w:trPr>
          <w:trHeight w:val="1773" w:hRule="atLeast"/>
        </w:trPr>
        <w:tc>
          <w:tcPr>
            <w:tcW w:w="4574" w:type="dxa"/>
            <w:tcBorders>
              <w:left w:val="single" w:sz="12" w:space="0" w:color="000000"/>
              <w:bottom w:val="single" w:sz="8" w:space="0" w:color="000000"/>
              <w:right w:val="single" w:sz="8" w:space="0" w:color="000000"/>
            </w:tcBorders>
            <w:shd w:fill="auto" w:val="clear"/>
          </w:tcPr>
          <w:p>
            <w:pPr>
              <w:pStyle w:val="Style26"/>
              <w:widowControl/>
              <w:tabs>
                <w:tab w:val="clear" w:pos="480"/>
              </w:tabs>
              <w:snapToGrid w:val="false"/>
              <w:spacing w:lineRule="atLeast" w:line="360"/>
              <w:ind w:left="480" w:hanging="480"/>
              <w:jc w:val="both"/>
              <w:rPr/>
            </w:pPr>
            <w:r>
              <w:rPr>
                <w:rStyle w:val="Style5"/>
                <w:rFonts w:ascii="標楷體" w:hAnsi="標楷體" w:eastAsia="標楷體"/>
              </w:rPr>
              <w:t>七、</w:t>
            </w:r>
            <w:r>
              <w:rPr>
                <w:rStyle w:val="Style5"/>
                <w:rFonts w:ascii="標楷體" w:hAnsi="標楷體" w:eastAsia="標楷體"/>
                <w:sz w:val="26"/>
                <w:szCs w:val="26"/>
              </w:rPr>
              <w:t>針對內部高風險業務設有明確職能分工及職務輪調等機制。</w:t>
            </w:r>
          </w:p>
          <w:p>
            <w:pPr>
              <w:pStyle w:val="Style26"/>
              <w:widowControl/>
              <w:tabs>
                <w:tab w:val="clear" w:pos="480"/>
              </w:tabs>
              <w:snapToGrid w:val="false"/>
              <w:spacing w:lineRule="atLeast" w:line="360"/>
              <w:ind w:left="480" w:hanging="0"/>
              <w:jc w:val="both"/>
              <w:rPr/>
            </w:pPr>
            <w:r>
              <w:rPr>
                <w:rStyle w:val="Style5"/>
                <w:rFonts w:ascii="標楷體" w:hAnsi="標楷體" w:eastAsia="標楷體"/>
                <w:b/>
              </w:rPr>
              <w:t>（由機關自行指定之單位負責評估，其餘單位免列示本項）</w:t>
            </w:r>
          </w:p>
        </w:tc>
        <w:tc>
          <w:tcPr>
            <w:tcW w:w="616" w:type="dxa"/>
            <w:tcBorders>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630" w:type="dxa"/>
            <w:tcBorders>
              <w:left w:val="single" w:sz="8" w:space="0" w:color="000000"/>
              <w:bottom w:val="single" w:sz="8" w:space="0" w:color="000000"/>
              <w:right w:val="single" w:sz="8" w:space="0" w:color="000000"/>
            </w:tcBorders>
            <w:shd w:fill="auto" w:val="clear"/>
            <w:vAlign w:val="center"/>
          </w:tcPr>
          <w:p>
            <w:pPr>
              <w:pStyle w:val="Style26"/>
              <w:snapToGrid w:val="false"/>
              <w:spacing w:lineRule="atLeast" w:line="400"/>
              <w:rPr>
                <w:rFonts w:ascii="標楷體" w:hAnsi="標楷體" w:eastAsia="標楷體"/>
                <w:bCs/>
                <w:kern w:val="0"/>
                <w:sz w:val="26"/>
                <w:szCs w:val="26"/>
              </w:rPr>
            </w:pPr>
            <w:r>
              <w:rPr>
                <w:rFonts w:eastAsia="標楷體" w:ascii="標楷體" w:hAnsi="標楷體"/>
                <w:bCs/>
                <w:kern w:val="0"/>
                <w:sz w:val="26"/>
                <w:szCs w:val="26"/>
              </w:rPr>
            </w:r>
          </w:p>
        </w:tc>
        <w:tc>
          <w:tcPr>
            <w:tcW w:w="629" w:type="dxa"/>
            <w:tcBorders>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576" w:type="dxa"/>
            <w:tcBorders>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715" w:type="dxa"/>
            <w:tcBorders>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593" w:type="dxa"/>
            <w:tcBorders>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134" w:type="dxa"/>
            <w:tcBorders>
              <w:left w:val="single" w:sz="8" w:space="0" w:color="000000"/>
              <w:bottom w:val="single" w:sz="8" w:space="0" w:color="000000"/>
              <w:right w:val="single" w:sz="12" w:space="0" w:color="000000"/>
            </w:tcBorders>
            <w:shd w:fill="auto" w:val="clear"/>
            <w:vAlign w:val="center"/>
          </w:tcPr>
          <w:p>
            <w:pPr>
              <w:pStyle w:val="Style26"/>
              <w:widowControl/>
              <w:snapToGrid w:val="false"/>
              <w:spacing w:lineRule="atLeast" w:line="400"/>
              <w:rPr>
                <w:rFonts w:ascii="標楷體" w:hAnsi="標楷體" w:eastAsia="標楷體"/>
                <w:bCs/>
                <w:kern w:val="0"/>
              </w:rPr>
            </w:pPr>
            <w:r>
              <w:rPr>
                <w:rFonts w:eastAsia="標楷體" w:ascii="標楷體" w:hAnsi="標楷體"/>
                <w:bCs/>
                <w:kern w:val="0"/>
              </w:rPr>
            </w:r>
          </w:p>
        </w:tc>
      </w:tr>
      <w:tr>
        <w:trPr>
          <w:trHeight w:val="1022" w:hRule="atLeast"/>
          <w:cantSplit w:val="true"/>
        </w:trPr>
        <w:tc>
          <w:tcPr>
            <w:tcW w:w="4574" w:type="dxa"/>
            <w:tcBorders>
              <w:left w:val="single" w:sz="12" w:space="0" w:color="000000"/>
              <w:right w:val="single" w:sz="8" w:space="0" w:color="000000"/>
            </w:tcBorders>
            <w:shd w:fill="auto" w:val="clear"/>
          </w:tcPr>
          <w:p>
            <w:pPr>
              <w:pStyle w:val="Style26"/>
              <w:widowControl/>
              <w:tabs>
                <w:tab w:val="clear" w:pos="480"/>
              </w:tabs>
              <w:snapToGrid w:val="false"/>
              <w:spacing w:lineRule="atLeast" w:line="360"/>
              <w:ind w:left="520" w:hanging="520"/>
              <w:jc w:val="both"/>
              <w:rPr/>
            </w:pPr>
            <w:r>
              <w:rPr>
                <w:rStyle w:val="Style5"/>
                <w:rFonts w:ascii="標楷體" w:hAnsi="標楷體" w:eastAsia="標楷體"/>
                <w:sz w:val="26"/>
                <w:szCs w:val="26"/>
              </w:rPr>
              <w:t>八、稽核評估職能單位及負責內部控制或內部稽核業務幕僚單位依相關法令規定落實辦理下列工作</w:t>
            </w:r>
            <w:r>
              <w:rPr>
                <w:rStyle w:val="Style5"/>
                <w:rFonts w:eastAsia="標楷體"/>
                <w:sz w:val="16"/>
                <w:szCs w:val="16"/>
              </w:rPr>
              <w:t>（註</w:t>
            </w:r>
            <w:r>
              <w:rPr>
                <w:rStyle w:val="Style5"/>
                <w:rFonts w:eastAsia="標楷體"/>
                <w:sz w:val="16"/>
                <w:szCs w:val="16"/>
              </w:rPr>
              <w:t>3</w:t>
            </w:r>
            <w:r>
              <w:rPr>
                <w:rStyle w:val="Style5"/>
                <w:rFonts w:eastAsia="標楷體"/>
                <w:sz w:val="16"/>
                <w:szCs w:val="16"/>
              </w:rPr>
              <w:t>）</w:t>
            </w:r>
            <w:r>
              <w:rPr>
                <w:rStyle w:val="Style5"/>
                <w:rFonts w:ascii="標楷體" w:hAnsi="標楷體" w:eastAsia="標楷體"/>
              </w:rPr>
              <w:t>：</w:t>
            </w:r>
          </w:p>
          <w:p>
            <w:pPr>
              <w:pStyle w:val="Style26"/>
              <w:widowControl/>
              <w:numPr>
                <w:ilvl w:val="0"/>
                <w:numId w:val="10"/>
              </w:numPr>
              <w:tabs>
                <w:tab w:val="clear" w:pos="480"/>
              </w:tabs>
              <w:snapToGrid w:val="false"/>
              <w:spacing w:lineRule="atLeast" w:line="360"/>
              <w:ind w:left="1114" w:hanging="540"/>
              <w:jc w:val="both"/>
              <w:rPr>
                <w:rFonts w:ascii="標楷體" w:hAnsi="標楷體" w:eastAsia="標楷體"/>
                <w:sz w:val="26"/>
                <w:szCs w:val="26"/>
              </w:rPr>
            </w:pPr>
            <w:r>
              <w:rPr>
                <w:rFonts w:ascii="標楷體" w:hAnsi="標楷體" w:eastAsia="標楷體"/>
                <w:sz w:val="26"/>
                <w:szCs w:val="26"/>
              </w:rPr>
              <w:t>施政管考。</w:t>
            </w:r>
          </w:p>
          <w:p>
            <w:pPr>
              <w:pStyle w:val="Style26"/>
              <w:widowControl/>
              <w:numPr>
                <w:ilvl w:val="0"/>
                <w:numId w:val="10"/>
              </w:numPr>
              <w:tabs>
                <w:tab w:val="clear" w:pos="480"/>
                <w:tab w:val="left" w:pos="-134" w:leader="none"/>
              </w:tabs>
              <w:snapToGrid w:val="false"/>
              <w:spacing w:lineRule="atLeast" w:line="360"/>
              <w:ind w:hanging="674"/>
              <w:jc w:val="both"/>
              <w:rPr/>
            </w:pPr>
            <w:r>
              <w:rPr>
                <w:rStyle w:val="Style5"/>
                <w:rFonts w:ascii="標楷體" w:hAnsi="標楷體" w:eastAsia="標楷體"/>
                <w:sz w:val="26"/>
                <w:szCs w:val="26"/>
              </w:rPr>
              <w:t>…</w:t>
            </w:r>
          </w:p>
          <w:p>
            <w:pPr>
              <w:pStyle w:val="Style26"/>
              <w:widowControl/>
              <w:numPr>
                <w:ilvl w:val="0"/>
                <w:numId w:val="10"/>
              </w:numPr>
              <w:tabs>
                <w:tab w:val="clear" w:pos="480"/>
              </w:tabs>
              <w:snapToGrid w:val="false"/>
              <w:spacing w:lineRule="atLeast" w:line="360"/>
              <w:ind w:left="1114" w:hanging="540"/>
              <w:jc w:val="both"/>
              <w:rPr/>
            </w:pPr>
            <w:r>
              <w:rPr>
                <w:rStyle w:val="Style5"/>
                <w:rFonts w:ascii="標楷體" w:hAnsi="標楷體" w:eastAsia="標楷體"/>
                <w:sz w:val="26"/>
                <w:szCs w:val="26"/>
              </w:rPr>
              <w:t>定期檢討內部控制</w:t>
            </w:r>
            <w:r>
              <w:rPr>
                <w:rStyle w:val="Style5"/>
                <w:rFonts w:ascii="標楷體" w:hAnsi="標楷體" w:eastAsia="標楷體"/>
              </w:rPr>
              <w:t>機制</w:t>
            </w:r>
            <w:r>
              <w:rPr>
                <w:rStyle w:val="Style5"/>
                <w:rFonts w:ascii="標楷體" w:hAnsi="標楷體" w:eastAsia="標楷體"/>
                <w:sz w:val="26"/>
                <w:szCs w:val="26"/>
              </w:rPr>
              <w:t>。</w:t>
            </w:r>
          </w:p>
          <w:p>
            <w:pPr>
              <w:pStyle w:val="Style26"/>
              <w:widowControl/>
              <w:tabs>
                <w:tab w:val="clear" w:pos="480"/>
              </w:tabs>
              <w:snapToGrid w:val="false"/>
              <w:spacing w:lineRule="atLeast" w:line="360"/>
              <w:ind w:left="574" w:hanging="0"/>
              <w:jc w:val="both"/>
              <w:rPr/>
            </w:pPr>
            <w:r>
              <w:rPr>
                <w:rStyle w:val="Style5"/>
                <w:rFonts w:ascii="標楷體" w:hAnsi="標楷體" w:eastAsia="標楷體"/>
                <w:b/>
              </w:rPr>
              <w:t>（非稽核評估職能單位、內部控制或內部稽核業務幕僚單位免列示本項）</w:t>
            </w:r>
          </w:p>
        </w:tc>
        <w:tc>
          <w:tcPr>
            <w:tcW w:w="616" w:type="dxa"/>
            <w:tcBorders>
              <w:left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630" w:type="dxa"/>
            <w:tcBorders>
              <w:left w:val="single" w:sz="8" w:space="0" w:color="000000"/>
              <w:right w:val="single" w:sz="8" w:space="0" w:color="000000"/>
            </w:tcBorders>
            <w:shd w:fill="auto" w:val="clear"/>
            <w:vAlign w:val="center"/>
          </w:tcPr>
          <w:p>
            <w:pPr>
              <w:pStyle w:val="Style26"/>
              <w:snapToGrid w:val="false"/>
              <w:spacing w:lineRule="atLeast" w:line="400"/>
              <w:rPr>
                <w:rFonts w:ascii="標楷體" w:hAnsi="標楷體" w:eastAsia="標楷體"/>
                <w:bCs/>
                <w:kern w:val="0"/>
                <w:sz w:val="26"/>
                <w:szCs w:val="26"/>
              </w:rPr>
            </w:pPr>
            <w:r>
              <w:rPr>
                <w:rFonts w:eastAsia="標楷體" w:ascii="標楷體" w:hAnsi="標楷體"/>
                <w:bCs/>
                <w:kern w:val="0"/>
                <w:sz w:val="26"/>
                <w:szCs w:val="26"/>
              </w:rPr>
            </w:r>
          </w:p>
        </w:tc>
        <w:tc>
          <w:tcPr>
            <w:tcW w:w="629" w:type="dxa"/>
            <w:tcBorders>
              <w:left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576" w:type="dxa"/>
            <w:tcBorders>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715" w:type="dxa"/>
            <w:tcBorders>
              <w:left w:val="single" w:sz="8" w:space="0" w:color="000000"/>
              <w:bottom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593" w:type="dxa"/>
            <w:tcBorders>
              <w:left w:val="single" w:sz="8" w:space="0" w:color="000000"/>
              <w:right w:val="single" w:sz="8" w:space="0" w:color="000000"/>
            </w:tcBorders>
            <w:shd w:fill="auto" w:val="clear"/>
            <w:vAlign w:val="center"/>
          </w:tcPr>
          <w:p>
            <w:pPr>
              <w:pStyle w:val="Style26"/>
              <w:widowControl/>
              <w:snapToGrid w:val="false"/>
              <w:spacing w:lineRule="atLeast" w:line="400"/>
              <w:rPr>
                <w:rFonts w:ascii="標楷體" w:hAnsi="標楷體" w:eastAsia="標楷體"/>
                <w:bCs/>
                <w:kern w:val="0"/>
                <w:sz w:val="20"/>
                <w:szCs w:val="20"/>
              </w:rPr>
            </w:pPr>
            <w:r>
              <w:rPr>
                <w:rFonts w:eastAsia="標楷體" w:ascii="標楷體" w:hAnsi="標楷體"/>
                <w:bCs/>
                <w:kern w:val="0"/>
                <w:sz w:val="20"/>
                <w:szCs w:val="20"/>
              </w:rPr>
            </w:r>
          </w:p>
        </w:tc>
        <w:tc>
          <w:tcPr>
            <w:tcW w:w="1134" w:type="dxa"/>
            <w:tcBorders>
              <w:left w:val="single" w:sz="8" w:space="0" w:color="000000"/>
              <w:right w:val="single" w:sz="12" w:space="0" w:color="000000"/>
            </w:tcBorders>
            <w:shd w:fill="auto" w:val="clear"/>
            <w:vAlign w:val="center"/>
          </w:tcPr>
          <w:p>
            <w:pPr>
              <w:pStyle w:val="Style26"/>
              <w:widowControl/>
              <w:snapToGrid w:val="false"/>
              <w:spacing w:lineRule="atLeast" w:line="400"/>
              <w:rPr>
                <w:rFonts w:ascii="標楷體" w:hAnsi="標楷體" w:eastAsia="標楷體"/>
                <w:bCs/>
                <w:kern w:val="0"/>
              </w:rPr>
            </w:pPr>
            <w:r>
              <w:rPr>
                <w:rFonts w:eastAsia="標楷體" w:ascii="標楷體" w:hAnsi="標楷體"/>
                <w:bCs/>
                <w:kern w:val="0"/>
              </w:rPr>
            </w:r>
          </w:p>
        </w:tc>
      </w:tr>
      <w:tr>
        <w:trPr>
          <w:trHeight w:val="626" w:hRule="atLeast"/>
        </w:trPr>
        <w:tc>
          <w:tcPr>
            <w:tcW w:w="10467" w:type="dxa"/>
            <w:gridSpan w:val="8"/>
            <w:tcBorders>
              <w:top w:val="single" w:sz="12" w:space="0" w:color="000000"/>
              <w:left w:val="single" w:sz="12" w:space="0" w:color="000000"/>
              <w:bottom w:val="single" w:sz="12" w:space="0" w:color="000000"/>
              <w:right w:val="single" w:sz="12" w:space="0" w:color="000000"/>
            </w:tcBorders>
            <w:shd w:fill="auto" w:val="clear"/>
            <w:vAlign w:val="center"/>
          </w:tcPr>
          <w:p>
            <w:pPr>
              <w:pStyle w:val="Style26"/>
              <w:widowControl/>
              <w:snapToGrid w:val="false"/>
              <w:spacing w:lineRule="atLeast" w:line="400"/>
              <w:jc w:val="both"/>
              <w:rPr/>
            </w:pPr>
            <w:r>
              <w:rPr>
                <w:rStyle w:val="Style5"/>
                <w:rFonts w:ascii="標楷體" w:hAnsi="標楷體" w:eastAsia="標楷體"/>
                <w:sz w:val="26"/>
                <w:szCs w:val="26"/>
              </w:rPr>
              <w:t>填表人：               複核：                  單位主管：</w:t>
            </w:r>
          </w:p>
        </w:tc>
      </w:tr>
    </w:tbl>
    <w:p>
      <w:pPr>
        <w:pStyle w:val="Style26"/>
        <w:snapToGrid w:val="false"/>
        <w:spacing w:lineRule="atLeast" w:line="240"/>
        <w:rPr>
          <w:rFonts w:ascii="標楷體" w:hAnsi="標楷體" w:eastAsia="標楷體"/>
        </w:rPr>
      </w:pPr>
      <w:r>
        <w:rPr>
          <w:rFonts w:eastAsia="標楷體" w:ascii="標楷體" w:hAnsi="標楷體"/>
        </w:rPr>
      </w:r>
    </w:p>
    <w:p>
      <w:pPr>
        <w:pStyle w:val="Style26"/>
        <w:tabs>
          <w:tab w:val="clear" w:pos="480"/>
        </w:tabs>
        <w:snapToGrid w:val="false"/>
        <w:spacing w:lineRule="atLeast" w:line="240"/>
        <w:ind w:left="660" w:hanging="953"/>
        <w:rPr>
          <w:rFonts w:ascii="標楷體" w:hAnsi="標楷體" w:eastAsia="標楷體"/>
        </w:rPr>
      </w:pPr>
      <w:r>
        <w:rPr>
          <w:rFonts w:ascii="標楷體" w:hAnsi="標楷體" w:eastAsia="標楷體"/>
        </w:rPr>
        <w:t>註：</w:t>
      </w:r>
    </w:p>
    <w:p>
      <w:pPr>
        <w:pStyle w:val="Style26"/>
        <w:numPr>
          <w:ilvl w:val="0"/>
          <w:numId w:val="11"/>
        </w:numPr>
        <w:tabs>
          <w:tab w:val="clear" w:pos="480"/>
        </w:tabs>
        <w:snapToGrid w:val="false"/>
        <w:spacing w:lineRule="atLeast" w:line="240"/>
        <w:ind w:left="-39" w:right="-60" w:hanging="254"/>
        <w:jc w:val="both"/>
        <w:rPr>
          <w:rFonts w:ascii="標楷體" w:hAnsi="標楷體" w:eastAsia="標楷體"/>
        </w:rPr>
      </w:pPr>
      <w:r>
        <w:rPr>
          <w:rFonts w:ascii="標楷體" w:hAnsi="標楷體" w:eastAsia="標楷體"/>
        </w:rPr>
        <w:t>各單位除上列必要評估重點外，另得視業務性質及外部意見等調整增列評估重點項目，並依評估結果於評估情形欄勾選「符合」、「部分符合」、「未符合」、「未發生」或「不適用」；其中「未發生」係指有評估重點所規範之業務，但評估期間未發生，致無法評估者；「不適用」係指評估期間法令規定或作法已修正，但評估重點未及配合修正者，或無評估重點所規範之業務等。</w:t>
      </w:r>
    </w:p>
    <w:p>
      <w:pPr>
        <w:pStyle w:val="Style26"/>
        <w:numPr>
          <w:ilvl w:val="0"/>
          <w:numId w:val="11"/>
        </w:numPr>
        <w:tabs>
          <w:tab w:val="clear" w:pos="480"/>
        </w:tabs>
        <w:snapToGrid w:val="false"/>
        <w:spacing w:lineRule="atLeast" w:line="240"/>
        <w:ind w:left="-39" w:right="-60" w:hanging="254"/>
        <w:jc w:val="both"/>
        <w:rPr/>
      </w:pPr>
      <w:r>
        <w:rPr>
          <w:rStyle w:val="Style5"/>
          <w:rFonts w:ascii="標楷體" w:hAnsi="標楷體" w:eastAsia="標楷體"/>
        </w:rPr>
        <w:t>「評估期間」係指本項作業自行評估所涵蓋之期間；「評估日期」指執行該項評估之日期。</w:t>
      </w:r>
    </w:p>
    <w:p>
      <w:pPr>
        <w:pStyle w:val="Style26"/>
        <w:numPr>
          <w:ilvl w:val="0"/>
          <w:numId w:val="11"/>
        </w:numPr>
        <w:tabs>
          <w:tab w:val="clear" w:pos="480"/>
        </w:tabs>
        <w:snapToGrid w:val="false"/>
        <w:spacing w:lineRule="atLeast" w:line="240"/>
        <w:ind w:left="-39" w:right="-60" w:hanging="254"/>
        <w:jc w:val="both"/>
        <w:rPr/>
      </w:pPr>
      <w:r>
        <w:rPr>
          <w:rStyle w:val="Style5"/>
          <w:rFonts w:ascii="標楷體" w:hAnsi="標楷體" w:eastAsia="標楷體"/>
        </w:rPr>
        <w:t>該評估重點係由稽核評估職能單位及負責內部控制或內部稽核業務幕僚單位自行填寫依其相關法令規定應辦理之工作，如施政管考、資訊安全稽核、政風查核、政府採購稽核、人事考核、內部審核、事務管理工作檢核及定期檢討內部控制機制等工作。</w:t>
      </w:r>
    </w:p>
    <w:p>
      <w:pPr>
        <w:pStyle w:val="Style26"/>
        <w:numPr>
          <w:ilvl w:val="0"/>
          <w:numId w:val="11"/>
        </w:numPr>
        <w:tabs>
          <w:tab w:val="clear" w:pos="480"/>
        </w:tabs>
        <w:snapToGrid w:val="false"/>
        <w:spacing w:lineRule="atLeast" w:line="240"/>
        <w:ind w:left="-39" w:right="-60" w:hanging="254"/>
        <w:jc w:val="both"/>
        <w:rPr/>
      </w:pPr>
      <w:r>
        <w:rPr>
          <w:rStyle w:val="Style5"/>
          <w:rFonts w:ascii="標楷體" w:hAnsi="標楷體" w:eastAsia="標楷體"/>
        </w:rPr>
        <w:t>本表及其佐證資料等，應自辦理自行評估工作結束日起，以書面文件或電子化型式至少保存三年。</w:t>
      </w:r>
    </w:p>
    <w:sectPr>
      <w:footerReference w:type="default" r:id="rId3"/>
      <w:type w:val="nextPage"/>
      <w:pgSz w:w="11906" w:h="16838"/>
      <w:pgMar w:left="1797" w:right="1701" w:header="0" w:top="851" w:footer="442" w:bottom="1440" w:gutter="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script"/>
    <w:pitch w:val="fixed"/>
  </w:font>
  <w:font w:name="Arial">
    <w:charset w:val="88"/>
    <w:family w:val="swiss"/>
    <w:pitch w:val="variable"/>
  </w:font>
  <w:font w:name="Calibri Light">
    <w:charset w:val="88"/>
    <w:family w:val="swiss"/>
    <w:pitch w:val="variable"/>
  </w:font>
  <w:font w:name="細明體">
    <w:charset w:val="88"/>
    <w:family w:val="modern"/>
    <w:pitch w:val="fixed"/>
  </w:font>
  <w:font w:name="Calibri">
    <w:charset w:val="88"/>
    <w:family w:val="swiss"/>
    <w:pitch w:val="variable"/>
  </w:font>
  <w:font w:name="Cambria">
    <w:charset w:val="88"/>
    <w:family w:val="roman"/>
    <w:pitch w:val="variable"/>
  </w:font>
  <w:font w:name="taipei">
    <w:charset w:val="88"/>
    <w:family w:val="roman"/>
    <w:pitch w:val="default"/>
  </w:font>
  <w:font w:name="sөũ">
    <w:charset w:val="88"/>
    <w:family w:val="roman"/>
    <w:pitch w:val="default"/>
  </w:font>
  <w:font w:name="Verdana">
    <w:charset w:val="88"/>
    <w:family w:val="swiss"/>
    <w:pitch w:val="variable"/>
  </w:font>
  <w:font w:name="Liberation Sans">
    <w:altName w:val="Arial"/>
    <w:charset w:val="88"/>
    <w:family w:val="swiss"/>
    <w:pitch w:val="variable"/>
  </w:font>
  <w:font w:name="新細明體">
    <w:charset w:val="88"/>
    <w:family w:val="roman"/>
    <w:pitch w:val="variable"/>
  </w:font>
  <w:font w:name="華康粗黑體">
    <w:charset w:val="88"/>
    <w:family w:val="modern"/>
    <w:pitch w:val="fixed"/>
  </w:font>
  <w:font w:name="Book Antiqua">
    <w:charset w:val="88"/>
    <w:family w:val="roman"/>
    <w:pitch w:val="variable"/>
  </w:font>
  <w:font w:name="華康中楷體">
    <w:charset w:val="88"/>
    <w:family w:val="modern"/>
    <w:pitch w:val="fixed"/>
  </w:font>
  <w:font w:name="華康楷書體W5">
    <w:charset w:val="88"/>
    <w:family w:val="script"/>
    <w:pitch w:val="fixed"/>
  </w:font>
  <w:font w:name="Tahoma">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r>
      <mc:AlternateContent>
        <mc:Choice Requires="wps">
          <w:drawing>
            <wp:anchor behindDoc="0" distT="0" distB="0" distL="0" distR="0" simplePos="0" locked="0" layoutInCell="1" allowOverlap="1" relativeHeight="5">
              <wp:simplePos x="0" y="0"/>
              <wp:positionH relativeFrom="margin">
                <wp:align>center</wp:align>
              </wp:positionH>
              <wp:positionV relativeFrom="paragraph">
                <wp:posOffset>635</wp:posOffset>
              </wp:positionV>
              <wp:extent cx="64135" cy="146685"/>
              <wp:effectExtent l="0" t="0" r="0" b="0"/>
              <wp:wrapSquare wrapText="bothSides"/>
              <wp:docPr id="1" name="外框1"/>
              <a:graphic xmlns:a="http://schemas.openxmlformats.org/drawingml/2006/main">
                <a:graphicData uri="http://schemas.microsoft.com/office/word/2010/wordprocessingShape">
                  <wps:wsp>
                    <wps:cNvSpPr txBox="1"/>
                    <wps:spPr>
                      <a:xfrm>
                        <a:off x="0" y="0"/>
                        <a:ext cx="64135" cy="146685"/>
                      </a:xfrm>
                      <a:prstGeom prst="rect"/>
                    </wps:spPr>
                    <wps:txbx>
                      <w:txbxContent>
                        <w:p>
                          <w:pPr>
                            <w:pStyle w:val="Style29"/>
                            <w:rPr/>
                          </w:pPr>
                          <w:r>
                            <w:rPr>
                              <w:rStyle w:val="Style8"/>
                            </w:rPr>
                            <w:fldChar w:fldCharType="begin"/>
                          </w:r>
                          <w:r>
                            <w:rPr>
                              <w:rStyle w:val="Style8"/>
                            </w:rPr>
                            <w:instrText> PAGE </w:instrText>
                          </w:r>
                          <w:r>
                            <w:rPr>
                              <w:rStyle w:val="Style8"/>
                            </w:rPr>
                            <w:fldChar w:fldCharType="separate"/>
                          </w:r>
                          <w:r>
                            <w:rPr>
                              <w:rStyle w:val="Style8"/>
                            </w:rPr>
                            <w:t>4</w:t>
                          </w:r>
                          <w:r>
                            <w:rPr>
                              <w:rStyle w:val="Style8"/>
                            </w:rPr>
                            <w:fldChar w:fldCharType="end"/>
                          </w:r>
                        </w:p>
                      </w:txbxContent>
                    </wps:txbx>
                    <wps:bodyPr anchor="t" lIns="0" tIns="0" rIns="0" bIns="0">
                      <a:noAutofit/>
                    </wps:bodyPr>
                  </wps:wsp>
                </a:graphicData>
              </a:graphic>
            </wp:anchor>
          </w:drawing>
        </mc:Choice>
        <mc:Fallback>
          <w:pict>
            <v:rect style="position:absolute;rotation:0;width:5.05pt;height:11.55pt;mso-wrap-distance-left:0pt;mso-wrap-distance-right:0pt;mso-wrap-distance-top:0pt;mso-wrap-distance-bottom:0pt;margin-top:0.05pt;mso-position-vertical-relative:text;margin-left:224.25pt;mso-position-horizontal:center;mso-position-horizontal-relative:margin">
              <v:textbox inset="0in,0in,0in,0in">
                <w:txbxContent>
                  <w:p>
                    <w:pPr>
                      <w:pStyle w:val="Style29"/>
                      <w:rPr/>
                    </w:pPr>
                    <w:r>
                      <w:rPr>
                        <w:rStyle w:val="Style8"/>
                      </w:rPr>
                      <w:fldChar w:fldCharType="begin"/>
                    </w:r>
                    <w:r>
                      <w:rPr>
                        <w:rStyle w:val="Style8"/>
                      </w:rPr>
                      <w:instrText> PAGE </w:instrText>
                    </w:r>
                    <w:r>
                      <w:rPr>
                        <w:rStyle w:val="Style8"/>
                      </w:rPr>
                      <w:fldChar w:fldCharType="separate"/>
                    </w:r>
                    <w:r>
                      <w:rPr>
                        <w:rStyle w:val="Style8"/>
                      </w:rPr>
                      <w:t>4</w:t>
                    </w:r>
                    <w:r>
                      <w:rPr>
                        <w:rStyle w:val="Style8"/>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r>
      <mc:AlternateContent>
        <mc:Choice Requires="wps">
          <w:drawing>
            <wp:anchor behindDoc="0" distT="0" distB="0" distL="0" distR="0" simplePos="0" locked="0" layoutInCell="1" allowOverlap="1" relativeHeight="7">
              <wp:simplePos x="0" y="0"/>
              <wp:positionH relativeFrom="margin">
                <wp:align>center</wp:align>
              </wp:positionH>
              <wp:positionV relativeFrom="paragraph">
                <wp:posOffset>635</wp:posOffset>
              </wp:positionV>
              <wp:extent cx="64135" cy="146685"/>
              <wp:effectExtent l="0" t="0" r="0" b="0"/>
              <wp:wrapSquare wrapText="bothSides"/>
              <wp:docPr id="3" name="1"/>
              <a:graphic xmlns:a="http://schemas.openxmlformats.org/drawingml/2006/main">
                <a:graphicData uri="http://schemas.microsoft.com/office/word/2010/wordprocessingShape">
                  <wps:wsp>
                    <wps:cNvSpPr txBox="1"/>
                    <wps:spPr>
                      <a:xfrm>
                        <a:off x="0" y="0"/>
                        <a:ext cx="64135" cy="146685"/>
                      </a:xfrm>
                      <a:prstGeom prst="rect"/>
                    </wps:spPr>
                    <wps:txbx>
                      <w:txbxContent>
                        <w:p>
                          <w:pPr>
                            <w:pStyle w:val="Style29"/>
                            <w:rPr/>
                          </w:pPr>
                          <w:r>
                            <w:rPr>
                              <w:rStyle w:val="Style8"/>
                            </w:rPr>
                            <w:fldChar w:fldCharType="begin"/>
                          </w:r>
                          <w:r>
                            <w:rPr>
                              <w:rStyle w:val="Style8"/>
                            </w:rPr>
                            <w:instrText> PAGE </w:instrText>
                          </w:r>
                          <w:r>
                            <w:rPr>
                              <w:rStyle w:val="Style8"/>
                            </w:rPr>
                            <w:fldChar w:fldCharType="separate"/>
                          </w:r>
                          <w:r>
                            <w:rPr>
                              <w:rStyle w:val="Style8"/>
                            </w:rPr>
                            <w:t>6</w:t>
                          </w:r>
                          <w:r>
                            <w:rPr>
                              <w:rStyle w:val="Style8"/>
                            </w:rPr>
                            <w:fldChar w:fldCharType="end"/>
                          </w:r>
                        </w:p>
                      </w:txbxContent>
                    </wps:txbx>
                    <wps:bodyPr anchor="t" lIns="0" tIns="0" rIns="0" bIns="0">
                      <a:noAutofit/>
                    </wps:bodyPr>
                  </wps:wsp>
                </a:graphicData>
              </a:graphic>
            </wp:anchor>
          </w:drawing>
        </mc:Choice>
        <mc:Fallback>
          <w:pict>
            <v:rect style="position:absolute;rotation:0;width:5.05pt;height:11.55pt;mso-wrap-distance-left:0pt;mso-wrap-distance-right:0pt;mso-wrap-distance-top:0pt;mso-wrap-distance-bottom:0pt;margin-top:0.05pt;mso-position-vertical-relative:text;margin-left:207.7pt;mso-position-horizontal:center;mso-position-horizontal-relative:margin">
              <v:textbox inset="0in,0in,0in,0in">
                <w:txbxContent>
                  <w:p>
                    <w:pPr>
                      <w:pStyle w:val="Style29"/>
                      <w:rPr/>
                    </w:pPr>
                    <w:r>
                      <w:rPr>
                        <w:rStyle w:val="Style8"/>
                      </w:rPr>
                      <w:fldChar w:fldCharType="begin"/>
                    </w:r>
                    <w:r>
                      <w:rPr>
                        <w:rStyle w:val="Style8"/>
                      </w:rPr>
                      <w:instrText> PAGE </w:instrText>
                    </w:r>
                    <w:r>
                      <w:rPr>
                        <w:rStyle w:val="Style8"/>
                      </w:rPr>
                      <w:fldChar w:fldCharType="separate"/>
                    </w:r>
                    <w:r>
                      <w:rPr>
                        <w:rStyle w:val="Style8"/>
                      </w:rPr>
                      <w:t>6</w:t>
                    </w:r>
                    <w:r>
                      <w:rPr>
                        <w:rStyle w:val="Style8"/>
                      </w:rPr>
                      <w:fldChar w:fldCharType="end"/>
                    </w:r>
                  </w:p>
                </w:txbxContent>
              </v:textbox>
              <w10:wrap type="squar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pStyle w:val="4"/>
      <w:numFmt w:val="none"/>
      <w:suff w:val="nothing"/>
      <w:lvlText w:val=""/>
      <w:lvlJc w:val="left"/>
      <w:pPr>
        <w:ind w:left="0" w:hanging="0"/>
      </w:pPr>
    </w:lvl>
    <w:lvl w:ilvl="4">
      <w:start w:val="1"/>
      <w:pStyle w:val="5"/>
      <w:numFmt w:val="none"/>
      <w:suff w:val="nothing"/>
      <w:lvlText w:val=""/>
      <w:lvlJc w:val="left"/>
      <w:pPr>
        <w:ind w:left="0" w:hanging="0"/>
      </w:pPr>
    </w:lvl>
    <w:lvl w:ilvl="5">
      <w:start w:val="1"/>
      <w:pStyle w:val="6"/>
      <w:numFmt w:val="none"/>
      <w:suff w:val="nothing"/>
      <w:lvlText w:val=""/>
      <w:lvlJc w:val="left"/>
      <w:pPr>
        <w:ind w:left="0" w:hanging="0"/>
      </w:pPr>
    </w:lvl>
    <w:lvl w:ilvl="6">
      <w:start w:val="1"/>
      <w:pStyle w:val="7"/>
      <w:numFmt w:val="none"/>
      <w:suff w:val="nothing"/>
      <w:lvlText w:val=""/>
      <w:lvlJc w:val="left"/>
      <w:pPr>
        <w:ind w:left="0" w:hanging="0"/>
      </w:pPr>
    </w:lvl>
    <w:lvl w:ilvl="7">
      <w:start w:val="1"/>
      <w:pStyle w:val="8"/>
      <w:numFmt w:val="none"/>
      <w:suff w:val="nothing"/>
      <w:lvlText w:val=""/>
      <w:lvlJc w:val="left"/>
      <w:pPr>
        <w:ind w:left="0" w:hanging="0"/>
      </w:pPr>
    </w:lvl>
    <w:lvl w:ilvl="8">
      <w:start w:val="1"/>
      <w:pStyle w:val="9"/>
      <w:numFmt w:val="none"/>
      <w:suff w:val="nothing"/>
      <w:lvlText w:val=""/>
      <w:lvlJc w:val="left"/>
      <w:pPr>
        <w:ind w:left="0" w:hanging="0"/>
      </w:pPr>
    </w:lvl>
  </w:abstractNum>
  <w:abstractNum w:abstractNumId="2">
    <w:lvl w:ilvl="0">
      <w:start w:val="1"/>
      <w:numFmt w:val="ideographLegalTraditional"/>
      <w:suff w:val="nothing"/>
      <w:lvlText w:val="%1、"/>
      <w:lvlJc w:val="left"/>
      <w:pPr>
        <w:ind w:left="2552" w:hanging="2552"/>
      </w:pPr>
      <w:rPr>
        <w:sz w:val="32"/>
        <w:b/>
        <w:szCs w:val="32"/>
        <w:rFonts w:eastAsia="標楷體"/>
      </w:rPr>
    </w:lvl>
    <w:lvl w:ilvl="1">
      <w:start w:val="1"/>
      <w:numFmt w:val="decimal"/>
      <w:suff w:val="nothing"/>
      <w:lvlText w:val="%2、"/>
      <w:lvlJc w:val="left"/>
      <w:pPr>
        <w:ind w:left="3856" w:hanging="2609"/>
      </w:pPr>
      <w:rPr>
        <w:sz w:val="32"/>
      </w:rPr>
    </w:lvl>
    <w:lvl w:ilvl="2">
      <w:start w:val="1"/>
      <w:numFmt w:val="decimal"/>
      <w:suff w:val="nothing"/>
      <w:lvlText w:val="(%3)"/>
      <w:lvlJc w:val="left"/>
      <w:pPr>
        <w:ind w:left="1418" w:hanging="567"/>
      </w:pPr>
    </w:lvl>
    <w:lvl w:ilvl="3">
      <w:start w:val="1"/>
      <w:numFmt w:val="decimal"/>
      <w:suff w:val="nothing"/>
      <w:lvlText w:val="%4、"/>
      <w:lvlJc w:val="left"/>
      <w:pPr>
        <w:ind w:left="3629" w:hanging="1985"/>
      </w:pPr>
    </w:lvl>
    <w:lvl w:ilvl="4">
      <w:start w:val="1"/>
      <w:numFmt w:val="none"/>
      <w:suff w:val="nothing"/>
      <w:lvlText w:val=""/>
      <w:lvlJc w:val="left"/>
      <w:pPr>
        <w:ind w:left="2551" w:hanging="850"/>
      </w:pPr>
    </w:lvl>
    <w:lvl w:ilvl="5">
      <w:start w:val="1"/>
      <w:numFmt w:val="none"/>
      <w:suff w:val="nothing"/>
      <w:lvlText w:val=""/>
      <w:lvlJc w:val="left"/>
      <w:pPr>
        <w:ind w:left="3260" w:hanging="1134"/>
      </w:pPr>
    </w:lvl>
    <w:lvl w:ilvl="6">
      <w:start w:val="1"/>
      <w:numFmt w:val="none"/>
      <w:suff w:val="nothing"/>
      <w:lvlText w:val=""/>
      <w:lvlJc w:val="left"/>
      <w:pPr>
        <w:ind w:left="3827" w:hanging="1276"/>
      </w:pPr>
    </w:lvl>
    <w:lvl w:ilvl="7">
      <w:start w:val="1"/>
      <w:numFmt w:val="none"/>
      <w:suff w:val="nothing"/>
      <w:lvlText w:val=""/>
      <w:lvlJc w:val="left"/>
      <w:pPr>
        <w:ind w:left="4394" w:hanging="1418"/>
      </w:pPr>
    </w:lvl>
    <w:lvl w:ilvl="8">
      <w:start w:val="1"/>
      <w:numFmt w:val="none"/>
      <w:suff w:val="nothing"/>
      <w:lvlText w:val=""/>
      <w:lvlJc w:val="left"/>
      <w:pPr>
        <w:ind w:left="5102" w:hanging="1700"/>
      </w:pPr>
    </w:lvl>
  </w:abstractNum>
  <w:abstractNum w:abstractNumId="3">
    <w:lvl w:ilvl="0">
      <w:start w:val="1"/>
      <w:numFmt w:val="decimal"/>
      <w:lvlText w:val="%1、"/>
      <w:lvlJc w:val="left"/>
      <w:pPr>
        <w:ind w:left="96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lvl w:ilvl="0">
      <w:start w:val="1"/>
      <w:numFmt w:val="decimal"/>
      <w:suff w:val="nothing"/>
      <w:lvlText w:val="%1、"/>
      <w:lvlJc w:val="left"/>
      <w:pPr>
        <w:ind w:left="1077" w:hanging="714"/>
      </w:pPr>
    </w:lvl>
    <w:lvl w:ilvl="1">
      <w:start w:val="1"/>
      <w:numFmt w:val="decimal"/>
      <w:suff w:val="nothing"/>
      <w:lvlText w:val="（%2）"/>
      <w:lvlJc w:val="left"/>
      <w:pPr>
        <w:ind w:left="1803" w:hanging="1077"/>
      </w:pPr>
    </w:lvl>
    <w:lvl w:ilvl="2">
      <w:start w:val="1"/>
      <w:numFmt w:val="decimal"/>
      <w:suff w:val="nothing"/>
      <w:lvlText w:val="%3、"/>
      <w:lvlJc w:val="left"/>
      <w:pPr>
        <w:ind w:left="2189" w:hanging="737"/>
      </w:pPr>
    </w:lvl>
    <w:lvl w:ilvl="3">
      <w:start w:val="1"/>
      <w:numFmt w:val="decimal"/>
      <w:suff w:val="nothing"/>
      <w:lvlText w:val="（%4）"/>
      <w:lvlJc w:val="left"/>
      <w:pPr>
        <w:ind w:left="2903" w:hanging="1089"/>
      </w:pPr>
    </w:lvl>
    <w:lvl w:ilvl="4">
      <w:start w:val="1"/>
      <w:numFmt w:val="ideographTraditional"/>
      <w:suff w:val="nothing"/>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lvl w:ilvl="0">
      <w:start w:val="1"/>
      <w:numFmt w:val="decimal"/>
      <w:suff w:val="nothing"/>
      <w:lvlText w:val="%1、"/>
      <w:lvlJc w:val="left"/>
      <w:pPr>
        <w:ind w:left="992" w:hanging="652"/>
      </w:pPr>
    </w:lvl>
    <w:lvl w:ilvl="1">
      <w:start w:val="1"/>
      <w:numFmt w:val="decimal"/>
      <w:suff w:val="nothing"/>
      <w:lvlText w:val="(%2)"/>
      <w:lvlJc w:val="left"/>
      <w:pPr>
        <w:ind w:left="1610" w:hanging="947"/>
      </w:pPr>
    </w:lvl>
    <w:lvl w:ilvl="2">
      <w:start w:val="1"/>
      <w:numFmt w:val="decimal"/>
      <w:suff w:val="nothing"/>
      <w:lvlText w:val="%3、"/>
      <w:lvlJc w:val="left"/>
      <w:pPr>
        <w:ind w:left="1497" w:hanging="471"/>
      </w:pPr>
    </w:lvl>
    <w:lvl w:ilvl="3">
      <w:start w:val="1"/>
      <w:numFmt w:val="decimal"/>
      <w:suff w:val="nothing"/>
      <w:lvlText w:val="(%4)"/>
      <w:lvlJc w:val="left"/>
      <w:pPr>
        <w:ind w:left="2166" w:hanging="794"/>
      </w:pPr>
    </w:lvl>
    <w:lvl w:ilvl="4">
      <w:start w:val="1"/>
      <w:numFmt w:val="ideographTraditional"/>
      <w:suff w:val="nothing"/>
      <w:lvlText w:val="%5、"/>
      <w:lvlJc w:val="left"/>
      <w:pPr>
        <w:ind w:left="2823" w:hanging="646"/>
      </w:pPr>
    </w:lvl>
    <w:lvl w:ilvl="5">
      <w:start w:val="1"/>
      <w:numFmt w:val="ideographTraditional"/>
      <w:suff w:val="nothing"/>
      <w:lvlText w:val="(%6)"/>
      <w:lvlJc w:val="left"/>
      <w:pPr>
        <w:ind w:left="3458" w:hanging="952"/>
      </w:pPr>
    </w:lvl>
    <w:lvl w:ilvl="6">
      <w:start w:val="1"/>
      <w:numFmt w:val="ideographZodiac"/>
      <w:suff w:val="nothing"/>
      <w:lvlText w:val="%7、"/>
      <w:lvlJc w:val="left"/>
      <w:pPr>
        <w:ind w:left="4105" w:hanging="647"/>
      </w:pPr>
    </w:lvl>
    <w:lvl w:ilvl="7">
      <w:start w:val="1"/>
      <w:numFmt w:val="ideographZodiac"/>
      <w:suff w:val="nothing"/>
      <w:lvlText w:val="(%8)"/>
      <w:lvlJc w:val="left"/>
      <w:pPr>
        <w:ind w:left="4728" w:hanging="952"/>
      </w:pPr>
    </w:lvl>
    <w:lvl w:ilvl="8">
      <w:start w:val="1"/>
      <w:numFmt w:val="decimal"/>
      <w:suff w:val="nothing"/>
      <w:lvlText w:val="%9)"/>
      <w:lvlJc w:val="left"/>
      <w:pPr>
        <w:ind w:left="4615" w:hanging="476"/>
      </w:pPr>
    </w:lvl>
  </w:abstractNum>
  <w:abstractNum w:abstractNumId="6">
    <w:lvl w:ilvl="0">
      <w:start w:val="1"/>
      <w:numFmt w:val="decimal"/>
      <w:suff w:val="nothing"/>
      <w:lvlText w:val="%1、"/>
      <w:lvlJc w:val="left"/>
      <w:pPr>
        <w:ind w:left="992" w:hanging="652"/>
      </w:pPr>
    </w:lvl>
    <w:lvl w:ilvl="1">
      <w:start w:val="1"/>
      <w:numFmt w:val="decimal"/>
      <w:suff w:val="nothing"/>
      <w:lvlText w:val="(%2)"/>
      <w:lvlJc w:val="left"/>
      <w:pPr>
        <w:ind w:left="1610" w:hanging="947"/>
      </w:pPr>
    </w:lvl>
    <w:lvl w:ilvl="2">
      <w:start w:val="1"/>
      <w:numFmt w:val="decimal"/>
      <w:suff w:val="nothing"/>
      <w:lvlText w:val="%3、"/>
      <w:lvlJc w:val="left"/>
      <w:pPr>
        <w:ind w:left="1497" w:hanging="471"/>
      </w:pPr>
    </w:lvl>
    <w:lvl w:ilvl="3">
      <w:start w:val="1"/>
      <w:numFmt w:val="decimal"/>
      <w:suff w:val="nothing"/>
      <w:lvlText w:val="(%4)"/>
      <w:lvlJc w:val="left"/>
      <w:pPr>
        <w:ind w:left="2166" w:hanging="794"/>
      </w:pPr>
    </w:lvl>
    <w:lvl w:ilvl="4">
      <w:start w:val="1"/>
      <w:numFmt w:val="ideographTraditional"/>
      <w:suff w:val="nothing"/>
      <w:lvlText w:val="%5、"/>
      <w:lvlJc w:val="left"/>
      <w:pPr>
        <w:ind w:left="2823" w:hanging="646"/>
      </w:pPr>
    </w:lvl>
    <w:lvl w:ilvl="5">
      <w:start w:val="1"/>
      <w:numFmt w:val="ideographTraditional"/>
      <w:suff w:val="nothing"/>
      <w:lvlText w:val="(%6)"/>
      <w:lvlJc w:val="left"/>
      <w:pPr>
        <w:ind w:left="3458" w:hanging="952"/>
      </w:pPr>
    </w:lvl>
    <w:lvl w:ilvl="6">
      <w:start w:val="1"/>
      <w:numFmt w:val="ideographZodiac"/>
      <w:suff w:val="nothing"/>
      <w:lvlText w:val="%7、"/>
      <w:lvlJc w:val="left"/>
      <w:pPr>
        <w:ind w:left="4105" w:hanging="647"/>
      </w:pPr>
    </w:lvl>
    <w:lvl w:ilvl="7">
      <w:start w:val="1"/>
      <w:numFmt w:val="ideographZodiac"/>
      <w:suff w:val="nothing"/>
      <w:lvlText w:val="(%8)"/>
      <w:lvlJc w:val="left"/>
      <w:pPr>
        <w:ind w:left="4728" w:hanging="952"/>
      </w:pPr>
    </w:lvl>
    <w:lvl w:ilvl="8">
      <w:start w:val="1"/>
      <w:numFmt w:val="decimal"/>
      <w:suff w:val="nothing"/>
      <w:lvlText w:val="%9)"/>
      <w:lvlJc w:val="left"/>
      <w:pPr>
        <w:ind w:left="4615" w:hanging="476"/>
      </w:pPr>
    </w:lvl>
  </w:abstractNum>
  <w:abstractNum w:abstractNumId="7">
    <w:lvl w:ilvl="0">
      <w:start w:val="1"/>
      <w:numFmt w:val="decimal"/>
      <w:lvlText w:val="%1、"/>
      <w:lvlJc w:val="left"/>
      <w:pPr>
        <w:ind w:left="680" w:hanging="680"/>
      </w:pPr>
      <w:rPr>
        <w:color w:val="000000"/>
      </w:rPr>
    </w:lvl>
    <w:lvl w:ilvl="1">
      <w:start w:val="1"/>
      <w:numFmt w:val="decimal"/>
      <w:lvlText w:val="(%2)"/>
      <w:lvlJc w:val="left"/>
      <w:pPr>
        <w:ind w:left="1021" w:hanging="567"/>
      </w:pPr>
      <w:rPr>
        <w:color w:val="000000"/>
      </w:rPr>
    </w:lvl>
    <w:lvl w:ilvl="2">
      <w:start w:val="1"/>
      <w:numFmt w:val="decimal"/>
      <w:lvlText w:val="%3、"/>
      <w:lvlJc w:val="left"/>
      <w:pPr>
        <w:ind w:left="1304" w:hanging="680"/>
      </w:pPr>
      <w:rPr>
        <w:color w:val="000000"/>
      </w:rPr>
    </w:lvl>
    <w:lvl w:ilvl="3">
      <w:start w:val="1"/>
      <w:numFmt w:val="decimal"/>
      <w:lvlText w:val="(%4)"/>
      <w:lvlJc w:val="left"/>
      <w:pPr>
        <w:ind w:left="1588" w:hanging="567"/>
      </w:pPr>
      <w:rPr>
        <w:color w:val="000000"/>
      </w:rPr>
    </w:lvl>
    <w:lvl w:ilvl="4">
      <w:start w:val="1"/>
      <w:numFmt w:val="ideographTraditional"/>
      <w:lvlText w:val="%5、"/>
      <w:lvlJc w:val="left"/>
      <w:pPr>
        <w:ind w:left="1871" w:hanging="680"/>
      </w:pPr>
      <w:rPr>
        <w:color w:val="000000"/>
      </w:r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lvl w:ilvl="0">
      <w:start w:val="1"/>
      <w:numFmt w:val="decimal"/>
      <w:suff w:val="nothing"/>
      <w:lvlText w:val="%1、"/>
      <w:lvlJc w:val="left"/>
      <w:pPr>
        <w:ind w:left="952" w:hanging="635"/>
      </w:pPr>
    </w:lvl>
    <w:lvl w:ilvl="1">
      <w:start w:val="1"/>
      <w:numFmt w:val="decimal"/>
      <w:suff w:val="nothing"/>
      <w:lvlText w:val="(%2)"/>
      <w:lvlJc w:val="left"/>
      <w:pPr>
        <w:ind w:left="1474" w:hanging="522"/>
      </w:pPr>
    </w:lvl>
    <w:lvl w:ilvl="2">
      <w:start w:val="1"/>
      <w:numFmt w:val="decimal"/>
      <w:suff w:val="nothing"/>
      <w:lvlText w:val="%3、"/>
      <w:lvlJc w:val="left"/>
      <w:pPr>
        <w:ind w:left="1905" w:hanging="635"/>
      </w:pPr>
    </w:lvl>
    <w:lvl w:ilvl="3">
      <w:start w:val="1"/>
      <w:numFmt w:val="decimal"/>
      <w:suff w:val="nothing"/>
      <w:lvlText w:val="(%4)"/>
      <w:lvlJc w:val="left"/>
      <w:pPr>
        <w:ind w:left="2109" w:hanging="522"/>
      </w:pPr>
    </w:lvl>
    <w:lvl w:ilvl="4">
      <w:start w:val="1"/>
      <w:numFmt w:val="ideographTraditional"/>
      <w:suff w:val="nothing"/>
      <w:lvlText w:val="%5、"/>
      <w:lvlJc w:val="left"/>
      <w:pPr>
        <w:ind w:left="2857" w:hanging="635"/>
      </w:pPr>
    </w:lvl>
    <w:lvl w:ilvl="5">
      <w:start w:val="1"/>
      <w:numFmt w:val="ideographTraditional"/>
      <w:suff w:val="nothing"/>
      <w:lvlText w:val="(%6)"/>
      <w:lvlJc w:val="left"/>
      <w:pPr>
        <w:ind w:left="3118" w:hanging="578"/>
      </w:pPr>
    </w:lvl>
    <w:lvl w:ilvl="6">
      <w:start w:val="1"/>
      <w:numFmt w:val="ideographZodiac"/>
      <w:suff w:val="nothing"/>
      <w:lvlText w:val="%7、"/>
      <w:lvlJc w:val="left"/>
      <w:pPr>
        <w:ind w:left="3810" w:hanging="635"/>
      </w:pPr>
    </w:lvl>
    <w:lvl w:ilvl="7">
      <w:start w:val="1"/>
      <w:numFmt w:val="ideographZodiac"/>
      <w:suff w:val="nothing"/>
      <w:lvlText w:val="(%8)"/>
      <w:lvlJc w:val="left"/>
      <w:pPr>
        <w:ind w:left="4071" w:hanging="579"/>
      </w:pPr>
    </w:lvl>
    <w:lvl w:ilvl="8">
      <w:start w:val="1"/>
      <w:numFmt w:val="decimal"/>
      <w:suff w:val="nothing"/>
      <w:lvlText w:val="%9)"/>
      <w:lvlJc w:val="left"/>
      <w:pPr>
        <w:ind w:left="4592" w:hanging="465"/>
      </w:pPr>
    </w:lvl>
  </w:abstractNum>
  <w:abstractNum w:abstractNumId="9">
    <w:lvl w:ilvl="0">
      <w:start w:val="1"/>
      <w:numFmt w:val="ideographLegalTraditional"/>
      <w:lvlText w:val="%1、"/>
      <w:lvlJc w:val="left"/>
      <w:pPr>
        <w:ind w:left="8136"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lvl w:ilvl="0">
      <w:start w:val="1"/>
      <w:numFmt w:val="decimal"/>
      <w:lvlText w:val="(%1)"/>
      <w:lvlJc w:val="left"/>
      <w:pPr>
        <w:ind w:left="1248" w:hanging="528"/>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lvl w:ilvl="0">
      <w:start w:val="1"/>
      <w:numFmt w:val="decimal"/>
      <w:lvlText w:val="%1."/>
      <w:lvlJc w:val="left"/>
      <w:pPr>
        <w:ind w:left="360" w:hanging="360"/>
      </w:pPr>
      <w:rPr>
        <w:dstrike w:val="false"/>
        <w:strike w:val="false"/>
        <w:rFonts w:cs="Times New Roman"/>
      </w:rPr>
    </w:lvl>
    <w:lvl w:ilvl="1">
      <w:start w:val="1"/>
      <w:numFmt w:val="ideographTraditional"/>
      <w:lvlText w:val="%2、"/>
      <w:lvlJc w:val="left"/>
      <w:pPr>
        <w:ind w:left="960" w:hanging="480"/>
      </w:pPr>
    </w:lvl>
    <w:lvl w:ilvl="2">
      <w:start w:val="1"/>
      <w:numFmt w:val="decimal"/>
      <w:lvlText w:val="(%3)"/>
      <w:lvlJc w:val="left"/>
      <w:pPr>
        <w:ind w:left="1320" w:hanging="36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480"/>
  <w:compat>
    <w:doNotExpandShiftReturn/>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vertAlign w:val="baseline"/>
      <w:em w:val="none"/>
      <w:lang w:val="en-US" w:eastAsia="zh-TW" w:bidi="ar-SA"/>
    </w:rPr>
  </w:style>
  <w:style w:type="paragraph" w:styleId="1">
    <w:name w:val="Heading 1"/>
    <w:basedOn w:val="Style26"/>
    <w:next w:val="Style26"/>
    <w:qFormat/>
    <w:pPr>
      <w:keepNext w:val="true"/>
      <w:numPr>
        <w:ilvl w:val="0"/>
        <w:numId w:val="1"/>
      </w:numPr>
      <w:suppressAutoHyphens w:val="true"/>
      <w:spacing w:lineRule="exact" w:line="400"/>
      <w:outlineLvl w:val="0"/>
    </w:pPr>
    <w:rPr>
      <w:rFonts w:ascii="標楷體" w:hAnsi="標楷體" w:eastAsia="標楷體"/>
      <w:sz w:val="28"/>
    </w:rPr>
  </w:style>
  <w:style w:type="paragraph" w:styleId="2">
    <w:name w:val="Heading 2"/>
    <w:basedOn w:val="Style26"/>
    <w:next w:val="Style26"/>
    <w:qFormat/>
    <w:pPr>
      <w:keepNext w:val="true"/>
      <w:numPr>
        <w:ilvl w:val="1"/>
        <w:numId w:val="1"/>
      </w:numPr>
      <w:suppressAutoHyphens w:val="true"/>
      <w:spacing w:lineRule="auto" w:line="720"/>
      <w:jc w:val="both"/>
      <w:outlineLvl w:val="1"/>
    </w:pPr>
    <w:rPr>
      <w:rFonts w:ascii="Arial" w:hAnsi="Arial"/>
      <w:b/>
      <w:bCs/>
      <w:sz w:val="48"/>
      <w:szCs w:val="48"/>
    </w:rPr>
  </w:style>
  <w:style w:type="paragraph" w:styleId="3">
    <w:name w:val="Heading 3"/>
    <w:basedOn w:val="Style26"/>
    <w:next w:val="Style26"/>
    <w:qFormat/>
    <w:pPr>
      <w:keepNext w:val="true"/>
      <w:numPr>
        <w:ilvl w:val="2"/>
        <w:numId w:val="1"/>
      </w:numPr>
      <w:suppressAutoHyphens w:val="true"/>
      <w:spacing w:lineRule="auto" w:line="720"/>
      <w:outlineLvl w:val="2"/>
    </w:pPr>
    <w:rPr>
      <w:rFonts w:ascii="Calibri Light" w:hAnsi="Calibri Light"/>
      <w:b/>
      <w:bCs/>
      <w:sz w:val="36"/>
      <w:szCs w:val="36"/>
    </w:rPr>
  </w:style>
  <w:style w:type="paragraph" w:styleId="4">
    <w:name w:val="Heading 4"/>
    <w:basedOn w:val="Style26"/>
    <w:qFormat/>
    <w:pPr>
      <w:numPr>
        <w:ilvl w:val="3"/>
        <w:numId w:val="1"/>
      </w:numPr>
      <w:tabs>
        <w:tab w:val="clear" w:pos="480"/>
      </w:tabs>
      <w:suppressAutoHyphens w:val="true"/>
      <w:ind w:left="1741" w:hanging="698"/>
      <w:jc w:val="both"/>
      <w:outlineLvl w:val="3"/>
    </w:pPr>
    <w:rPr>
      <w:rFonts w:ascii="標楷體" w:hAnsi="標楷體" w:eastAsia="標楷體"/>
      <w:sz w:val="32"/>
      <w:szCs w:val="36"/>
    </w:rPr>
  </w:style>
  <w:style w:type="paragraph" w:styleId="5">
    <w:name w:val="Heading 5"/>
    <w:basedOn w:val="Style26"/>
    <w:qFormat/>
    <w:pPr>
      <w:numPr>
        <w:ilvl w:val="4"/>
        <w:numId w:val="1"/>
      </w:numPr>
      <w:tabs>
        <w:tab w:val="clear" w:pos="480"/>
      </w:tabs>
      <w:suppressAutoHyphens w:val="true"/>
      <w:ind w:left="2095" w:hanging="700"/>
      <w:jc w:val="both"/>
      <w:outlineLvl w:val="4"/>
    </w:pPr>
    <w:rPr>
      <w:rFonts w:ascii="標楷體" w:hAnsi="標楷體" w:eastAsia="標楷體"/>
      <w:bCs/>
      <w:sz w:val="32"/>
      <w:szCs w:val="36"/>
    </w:rPr>
  </w:style>
  <w:style w:type="paragraph" w:styleId="6">
    <w:name w:val="Heading 6"/>
    <w:basedOn w:val="Style26"/>
    <w:qFormat/>
    <w:pPr>
      <w:numPr>
        <w:ilvl w:val="5"/>
        <w:numId w:val="1"/>
      </w:numPr>
      <w:tabs>
        <w:tab w:val="clear" w:pos="480"/>
        <w:tab w:val="left" w:pos="2094" w:leader="none"/>
      </w:tabs>
      <w:suppressAutoHyphens w:val="true"/>
      <w:ind w:left="2444" w:hanging="715"/>
      <w:jc w:val="both"/>
      <w:outlineLvl w:val="5"/>
    </w:pPr>
    <w:rPr>
      <w:rFonts w:ascii="標楷體" w:hAnsi="標楷體" w:eastAsia="標楷體"/>
      <w:sz w:val="32"/>
      <w:szCs w:val="36"/>
    </w:rPr>
  </w:style>
  <w:style w:type="paragraph" w:styleId="7">
    <w:name w:val="Heading 7"/>
    <w:basedOn w:val="Style26"/>
    <w:qFormat/>
    <w:pPr>
      <w:numPr>
        <w:ilvl w:val="6"/>
        <w:numId w:val="1"/>
      </w:numPr>
      <w:tabs>
        <w:tab w:val="clear" w:pos="480"/>
      </w:tabs>
      <w:suppressAutoHyphens w:val="true"/>
      <w:ind w:left="2444" w:hanging="352"/>
      <w:jc w:val="both"/>
      <w:outlineLvl w:val="6"/>
    </w:pPr>
    <w:rPr>
      <w:rFonts w:ascii="標楷體" w:hAnsi="標楷體" w:eastAsia="標楷體"/>
      <w:bCs/>
      <w:sz w:val="32"/>
      <w:szCs w:val="36"/>
    </w:rPr>
  </w:style>
  <w:style w:type="paragraph" w:styleId="8">
    <w:name w:val="Heading 8"/>
    <w:basedOn w:val="Style26"/>
    <w:qFormat/>
    <w:pPr>
      <w:numPr>
        <w:ilvl w:val="7"/>
        <w:numId w:val="1"/>
      </w:numPr>
      <w:tabs>
        <w:tab w:val="clear" w:pos="480"/>
      </w:tabs>
      <w:suppressAutoHyphens w:val="true"/>
      <w:ind w:left="2790" w:hanging="349"/>
      <w:jc w:val="both"/>
      <w:outlineLvl w:val="7"/>
    </w:pPr>
    <w:rPr>
      <w:rFonts w:ascii="標楷體" w:hAnsi="標楷體" w:eastAsia="標楷體"/>
      <w:sz w:val="32"/>
      <w:szCs w:val="36"/>
    </w:rPr>
  </w:style>
  <w:style w:type="paragraph" w:styleId="9">
    <w:name w:val="Heading 9"/>
    <w:basedOn w:val="Style26"/>
    <w:next w:val="Style26"/>
    <w:qFormat/>
    <w:pPr>
      <w:keepNext w:val="true"/>
      <w:numPr>
        <w:ilvl w:val="8"/>
        <w:numId w:val="1"/>
      </w:numPr>
      <w:tabs>
        <w:tab w:val="clear" w:pos="480"/>
      </w:tabs>
      <w:suppressAutoHyphens w:val="true"/>
      <w:spacing w:lineRule="auto" w:line="720"/>
      <w:ind w:left="400" w:hanging="0"/>
      <w:outlineLvl w:val="8"/>
    </w:pPr>
    <w:rPr>
      <w:rFonts w:ascii="Arial" w:hAnsi="Arial"/>
      <w:sz w:val="36"/>
      <w:szCs w:val="36"/>
    </w:rPr>
  </w:style>
  <w:style w:type="character" w:styleId="Style5">
    <w:name w:val="預設段落字型"/>
    <w:qFormat/>
    <w:rPr/>
  </w:style>
  <w:style w:type="character" w:styleId="11">
    <w:name w:val="標題 1 字元"/>
    <w:qFormat/>
    <w:rPr>
      <w:rFonts w:ascii="標楷體" w:hAnsi="標楷體" w:eastAsia="標楷體"/>
      <w:kern w:val="2"/>
      <w:sz w:val="28"/>
      <w:szCs w:val="24"/>
      <w:lang w:val="en-US" w:eastAsia="zh-TW" w:bidi="ar-SA"/>
    </w:rPr>
  </w:style>
  <w:style w:type="character" w:styleId="21">
    <w:name w:val="標題 2 字元"/>
    <w:qFormat/>
    <w:rPr>
      <w:rFonts w:ascii="Arial" w:hAnsi="Arial" w:eastAsia="新細明體"/>
      <w:b/>
      <w:bCs/>
      <w:kern w:val="2"/>
      <w:sz w:val="48"/>
      <w:szCs w:val="48"/>
      <w:lang w:bidi="ar-SA"/>
    </w:rPr>
  </w:style>
  <w:style w:type="character" w:styleId="31">
    <w:name w:val="標題 3 字元"/>
    <w:qFormat/>
    <w:rPr>
      <w:rFonts w:ascii="Calibri Light" w:hAnsi="Calibri Light" w:eastAsia="新細明體"/>
      <w:b/>
      <w:bCs/>
      <w:kern w:val="2"/>
      <w:sz w:val="36"/>
      <w:szCs w:val="36"/>
      <w:lang w:bidi="ar-SA"/>
    </w:rPr>
  </w:style>
  <w:style w:type="character" w:styleId="41">
    <w:name w:val="標題 4 字元"/>
    <w:qFormat/>
    <w:rPr>
      <w:rFonts w:ascii="標楷體" w:hAnsi="標楷體" w:eastAsia="標楷體"/>
      <w:kern w:val="2"/>
      <w:sz w:val="32"/>
      <w:szCs w:val="36"/>
      <w:lang w:val="en-US" w:eastAsia="zh-TW" w:bidi="ar-SA"/>
    </w:rPr>
  </w:style>
  <w:style w:type="character" w:styleId="51">
    <w:name w:val="標題 5 字元"/>
    <w:qFormat/>
    <w:rPr>
      <w:rFonts w:ascii="標楷體" w:hAnsi="標楷體" w:eastAsia="標楷體"/>
      <w:bCs/>
      <w:kern w:val="2"/>
      <w:sz w:val="32"/>
      <w:szCs w:val="36"/>
      <w:lang w:val="en-US" w:eastAsia="zh-TW" w:bidi="ar-SA"/>
    </w:rPr>
  </w:style>
  <w:style w:type="character" w:styleId="61">
    <w:name w:val="標題 6 字元"/>
    <w:qFormat/>
    <w:rPr>
      <w:rFonts w:ascii="標楷體" w:hAnsi="標楷體" w:eastAsia="標楷體"/>
      <w:kern w:val="2"/>
      <w:sz w:val="32"/>
      <w:szCs w:val="36"/>
      <w:lang w:val="en-US" w:eastAsia="zh-TW" w:bidi="ar-SA"/>
    </w:rPr>
  </w:style>
  <w:style w:type="character" w:styleId="71">
    <w:name w:val="標題 7 字元"/>
    <w:qFormat/>
    <w:rPr>
      <w:rFonts w:ascii="標楷體" w:hAnsi="標楷體" w:eastAsia="標楷體"/>
      <w:bCs/>
      <w:kern w:val="2"/>
      <w:sz w:val="32"/>
      <w:szCs w:val="36"/>
      <w:lang w:val="en-US" w:eastAsia="zh-TW" w:bidi="ar-SA"/>
    </w:rPr>
  </w:style>
  <w:style w:type="character" w:styleId="81">
    <w:name w:val="標題 8 字元"/>
    <w:qFormat/>
    <w:rPr>
      <w:rFonts w:ascii="標楷體" w:hAnsi="標楷體" w:eastAsia="標楷體"/>
      <w:kern w:val="2"/>
      <w:sz w:val="32"/>
      <w:szCs w:val="36"/>
      <w:lang w:val="en-US" w:eastAsia="zh-TW" w:bidi="ar-SA"/>
    </w:rPr>
  </w:style>
  <w:style w:type="character" w:styleId="91">
    <w:name w:val="標題 9 字元"/>
    <w:qFormat/>
    <w:rPr>
      <w:rFonts w:ascii="Arial" w:hAnsi="Arial" w:eastAsia="新細明體"/>
      <w:kern w:val="2"/>
      <w:sz w:val="36"/>
      <w:szCs w:val="36"/>
      <w:lang w:val="en-US" w:eastAsia="zh-TW" w:bidi="ar-SA"/>
    </w:rPr>
  </w:style>
  <w:style w:type="character" w:styleId="Style6">
    <w:name w:val="註解方塊文字 字元"/>
    <w:qFormat/>
    <w:rPr>
      <w:rFonts w:ascii="Arial" w:hAnsi="Arial" w:eastAsia="新細明體"/>
      <w:kern w:val="2"/>
      <w:sz w:val="18"/>
      <w:szCs w:val="18"/>
      <w:lang w:val="en-US" w:eastAsia="zh-TW" w:bidi="ar-SA"/>
    </w:rPr>
  </w:style>
  <w:style w:type="character" w:styleId="22">
    <w:name w:val="本文 2 字元"/>
    <w:qFormat/>
    <w:rPr>
      <w:rFonts w:ascii="標楷體" w:hAnsi="標楷體" w:eastAsia="標楷體"/>
      <w:kern w:val="2"/>
      <w:sz w:val="24"/>
      <w:szCs w:val="22"/>
      <w:lang w:val="en-US" w:eastAsia="zh-TW" w:bidi="ar-SA"/>
    </w:rPr>
  </w:style>
  <w:style w:type="character" w:styleId="Style7">
    <w:name w:val="頁尾 字元"/>
    <w:qFormat/>
    <w:rPr>
      <w:rFonts w:eastAsia="新細明體"/>
      <w:kern w:val="2"/>
      <w:lang w:val="en-US" w:eastAsia="zh-TW" w:bidi="ar-SA"/>
    </w:rPr>
  </w:style>
  <w:style w:type="character" w:styleId="Style8">
    <w:name w:val="頁碼"/>
    <w:basedOn w:val="Style5"/>
    <w:rPr/>
  </w:style>
  <w:style w:type="character" w:styleId="Style9">
    <w:name w:val="頁首 字元"/>
    <w:qFormat/>
    <w:rPr>
      <w:rFonts w:eastAsia="新細明體"/>
      <w:kern w:val="2"/>
      <w:lang w:val="en-US" w:eastAsia="zh-TW" w:bidi="ar-SA"/>
    </w:rPr>
  </w:style>
  <w:style w:type="character" w:styleId="Style10">
    <w:name w:val="純文字 字元"/>
    <w:qFormat/>
    <w:rPr>
      <w:rFonts w:ascii="細明體" w:hAnsi="細明體" w:eastAsia="細明體"/>
      <w:kern w:val="2"/>
      <w:sz w:val="24"/>
      <w:lang w:val="en-US" w:eastAsia="zh-TW" w:bidi="ar-SA"/>
    </w:rPr>
  </w:style>
  <w:style w:type="character" w:styleId="Style11">
    <w:name w:val="本文縮排 字元"/>
    <w:qFormat/>
    <w:rPr>
      <w:rFonts w:ascii="標楷體" w:hAnsi="標楷體" w:eastAsia="標楷體"/>
      <w:kern w:val="2"/>
      <w:sz w:val="28"/>
      <w:szCs w:val="24"/>
      <w:lang w:val="en-US" w:eastAsia="zh-TW" w:bidi="ar-SA"/>
    </w:rPr>
  </w:style>
  <w:style w:type="character" w:styleId="Style12">
    <w:name w:val="清單段落 字元"/>
    <w:qFormat/>
    <w:rPr>
      <w:rFonts w:ascii="Calibri" w:hAnsi="Calibri" w:eastAsia="新細明體"/>
      <w:kern w:val="2"/>
      <w:sz w:val="24"/>
      <w:szCs w:val="22"/>
      <w:lang w:bidi="ar-SA"/>
    </w:rPr>
  </w:style>
  <w:style w:type="character" w:styleId="Style13">
    <w:name w:val="註解主旨 字元"/>
    <w:qFormat/>
    <w:rPr>
      <w:rFonts w:ascii="細明體" w:hAnsi="細明體" w:eastAsia="細明體"/>
      <w:kern w:val="2"/>
      <w:sz w:val="24"/>
      <w:lang w:val="en-US" w:eastAsia="zh-TW" w:bidi="ar-SA"/>
    </w:rPr>
  </w:style>
  <w:style w:type="character" w:styleId="Style14">
    <w:name w:val="註解文字 字元"/>
    <w:qFormat/>
    <w:rPr>
      <w:rFonts w:eastAsia="新細明體"/>
      <w:kern w:val="2"/>
      <w:sz w:val="24"/>
      <w:szCs w:val="24"/>
      <w:lang w:val="en-US" w:eastAsia="zh-TW" w:bidi="ar-SA"/>
    </w:rPr>
  </w:style>
  <w:style w:type="character" w:styleId="42">
    <w:name w:val="字元 字元4"/>
    <w:qFormat/>
    <w:rPr>
      <w:rFonts w:eastAsia="新細明體"/>
      <w:kern w:val="2"/>
    </w:rPr>
  </w:style>
  <w:style w:type="character" w:styleId="Style15">
    <w:name w:val="超連結"/>
    <w:qFormat/>
    <w:rPr>
      <w:color w:val="0000FF"/>
      <w:u w:val="single"/>
    </w:rPr>
  </w:style>
  <w:style w:type="character" w:styleId="SubTitle">
    <w:name w:val="SubTitle 字元"/>
    <w:qFormat/>
    <w:rPr>
      <w:rFonts w:ascii="標楷體" w:hAnsi="標楷體" w:eastAsia="標楷體"/>
      <w:sz w:val="28"/>
      <w:szCs w:val="28"/>
      <w:lang w:val="en-US" w:eastAsia="zh-TW" w:bidi="he-IL"/>
    </w:rPr>
  </w:style>
  <w:style w:type="character" w:styleId="Heading2Char">
    <w:name w:val="Heading 2 Char"/>
    <w:qFormat/>
    <w:rPr>
      <w:rFonts w:ascii="Arial" w:hAnsi="Arial" w:cs="Times New Roman"/>
      <w:b/>
      <w:kern w:val="2"/>
      <w:sz w:val="48"/>
    </w:rPr>
  </w:style>
  <w:style w:type="character" w:styleId="FooterChar">
    <w:name w:val="Footer Char"/>
    <w:qFormat/>
    <w:rPr>
      <w:rFonts w:cs="Times New Roman"/>
      <w:kern w:val="2"/>
    </w:rPr>
  </w:style>
  <w:style w:type="character" w:styleId="BodyText2Char">
    <w:name w:val="Body Text 2 Char"/>
    <w:qFormat/>
    <w:rPr>
      <w:rFonts w:ascii="標楷體" w:hAnsi="標楷體" w:eastAsia="標楷體" w:cs="Times New Roman"/>
      <w:kern w:val="2"/>
      <w:sz w:val="22"/>
    </w:rPr>
  </w:style>
  <w:style w:type="character" w:styleId="Style16">
    <w:name w:val="註解參照"/>
    <w:qFormat/>
    <w:rPr>
      <w:sz w:val="18"/>
      <w:szCs w:val="18"/>
    </w:rPr>
  </w:style>
  <w:style w:type="character" w:styleId="ListParagraphChar">
    <w:name w:val="List Paragraph Char"/>
    <w:qFormat/>
    <w:rPr>
      <w:rFonts w:ascii="Calibri" w:hAnsi="Calibri" w:eastAsia="新細明體"/>
      <w:kern w:val="2"/>
      <w:sz w:val="24"/>
      <w:szCs w:val="22"/>
      <w:lang w:val="en-US" w:eastAsia="zh-TW" w:bidi="ar-SA"/>
    </w:rPr>
  </w:style>
  <w:style w:type="character" w:styleId="Style17">
    <w:name w:val="已查閱的超連結"/>
    <w:qFormat/>
    <w:rPr>
      <w:color w:val="800080"/>
      <w:u w:val="single"/>
    </w:rPr>
  </w:style>
  <w:style w:type="character" w:styleId="Style18">
    <w:name w:val="字元 字元"/>
    <w:qFormat/>
    <w:rPr>
      <w:rFonts w:ascii="細明體" w:hAnsi="細明體" w:eastAsia="細明體"/>
      <w:kern w:val="2"/>
      <w:sz w:val="24"/>
      <w:lang w:val="en-US" w:eastAsia="zh-TW" w:bidi="ar-SA"/>
    </w:rPr>
  </w:style>
  <w:style w:type="character" w:styleId="14">
    <w:name w:val="字元 字元14"/>
    <w:qFormat/>
    <w:rPr>
      <w:rFonts w:eastAsia="新細明體"/>
      <w:kern w:val="2"/>
      <w:lang w:val="en-US" w:eastAsia="zh-TW"/>
    </w:rPr>
  </w:style>
  <w:style w:type="character" w:styleId="32">
    <w:name w:val="內文縮排(標題3) 字元"/>
    <w:qFormat/>
    <w:rPr>
      <w:rFonts w:eastAsia="新細明體"/>
      <w:sz w:val="24"/>
      <w:lang w:val="en-US" w:eastAsia="zh-TW" w:bidi="ar-SA"/>
    </w:rPr>
  </w:style>
  <w:style w:type="character" w:styleId="Style19">
    <w:name w:val="圖標題 字元"/>
    <w:qFormat/>
    <w:rPr>
      <w:rFonts w:eastAsia="新細明體"/>
      <w:sz w:val="24"/>
      <w:lang w:val="en-US" w:eastAsia="zh-TW" w:bidi="ar-SA"/>
    </w:rPr>
  </w:style>
  <w:style w:type="character" w:styleId="Style20">
    <w:name w:val="張家榮(一科)"/>
    <w:qFormat/>
    <w:rPr>
      <w:rFonts w:ascii="Arial" w:hAnsi="Arial" w:eastAsia="新細明體" w:cs="Arial"/>
      <w:color w:val="auto"/>
      <w:sz w:val="18"/>
      <w:szCs w:val="20"/>
    </w:rPr>
  </w:style>
  <w:style w:type="character" w:styleId="221">
    <w:name w:val="字元 字元22"/>
    <w:qFormat/>
    <w:rPr>
      <w:rFonts w:eastAsia="標楷體"/>
      <w:kern w:val="2"/>
      <w:sz w:val="24"/>
    </w:rPr>
  </w:style>
  <w:style w:type="character" w:styleId="1101111">
    <w:name w:val="標題110/111 字元 字元1"/>
    <w:qFormat/>
    <w:rPr>
      <w:rFonts w:ascii="Arial" w:hAnsi="Arial" w:eastAsia="新細明體"/>
      <w:b/>
      <w:bCs/>
      <w:kern w:val="2"/>
      <w:sz w:val="48"/>
      <w:szCs w:val="48"/>
      <w:lang w:bidi="ar-SA"/>
    </w:rPr>
  </w:style>
  <w:style w:type="character" w:styleId="211">
    <w:name w:val="字元 字元21"/>
    <w:qFormat/>
    <w:rPr>
      <w:rFonts w:ascii="Cambria" w:hAnsi="Cambria" w:eastAsia="新細明體"/>
      <w:b/>
      <w:kern w:val="2"/>
      <w:sz w:val="36"/>
      <w:lang w:val="en-US" w:eastAsia="zh-TW"/>
    </w:rPr>
  </w:style>
  <w:style w:type="character" w:styleId="13">
    <w:name w:val="字元 字元13"/>
    <w:qFormat/>
    <w:rPr>
      <w:rFonts w:eastAsia="新細明體"/>
      <w:kern w:val="2"/>
    </w:rPr>
  </w:style>
  <w:style w:type="character" w:styleId="12">
    <w:name w:val="字元 字元12"/>
    <w:qFormat/>
    <w:rPr>
      <w:rFonts w:ascii="細明體" w:hAnsi="細明體" w:eastAsia="細明體"/>
      <w:kern w:val="2"/>
      <w:sz w:val="24"/>
    </w:rPr>
  </w:style>
  <w:style w:type="character" w:styleId="111">
    <w:name w:val="字元 字元11"/>
    <w:qFormat/>
    <w:rPr>
      <w:rFonts w:eastAsia="新細明體"/>
      <w:kern w:val="2"/>
    </w:rPr>
  </w:style>
  <w:style w:type="character" w:styleId="Style21">
    <w:name w:val="強調粗體"/>
    <w:qFormat/>
    <w:rPr>
      <w:b/>
      <w:bCs/>
    </w:rPr>
  </w:style>
  <w:style w:type="character" w:styleId="Mbody11">
    <w:name w:val="mbody11"/>
    <w:qFormat/>
    <w:rPr>
      <w:rFonts w:ascii="taipei" w:hAnsi="taipei"/>
      <w:sz w:val="24"/>
      <w:szCs w:val="24"/>
    </w:rPr>
  </w:style>
  <w:style w:type="character" w:styleId="Style141">
    <w:name w:val="style141"/>
    <w:qFormat/>
    <w:rPr>
      <w:sz w:val="20"/>
      <w:szCs w:val="20"/>
    </w:rPr>
  </w:style>
  <w:style w:type="character" w:styleId="Style22">
    <w:name w:val="強調斜體"/>
    <w:qFormat/>
    <w:rPr>
      <w:b w:val="false"/>
      <w:bCs w:val="false"/>
      <w:i w:val="false"/>
      <w:iCs w:val="false"/>
      <w:color w:val="DD4B39"/>
    </w:rPr>
  </w:style>
  <w:style w:type="character" w:styleId="IOT">
    <w:name w:val="IOT內文 字元"/>
    <w:qFormat/>
    <w:rPr>
      <w:rFonts w:eastAsia="標楷體"/>
      <w:sz w:val="24"/>
      <w:szCs w:val="24"/>
      <w:lang w:bidi="ar-SA"/>
    </w:rPr>
  </w:style>
  <w:style w:type="character" w:styleId="IOT1">
    <w:name w:val="IOT內文 字元1"/>
    <w:qFormat/>
    <w:rPr>
      <w:rFonts w:eastAsia="標楷體"/>
      <w:sz w:val="24"/>
      <w:szCs w:val="24"/>
      <w:lang w:val="en-US" w:eastAsia="zh-TW" w:bidi="ar-SA"/>
    </w:rPr>
  </w:style>
  <w:style w:type="character" w:styleId="Style351">
    <w:name w:val="style351"/>
    <w:qFormat/>
    <w:rPr>
      <w:sz w:val="11"/>
      <w:szCs w:val="11"/>
    </w:rPr>
  </w:style>
  <w:style w:type="character" w:styleId="Type11">
    <w:name w:val="type11"/>
    <w:qFormat/>
    <w:rPr>
      <w:rFonts w:ascii="sөũ" w:hAnsi="sөũ"/>
      <w:b w:val="false"/>
      <w:bCs w:val="false"/>
      <w:sz w:val="24"/>
      <w:szCs w:val="24"/>
    </w:rPr>
  </w:style>
  <w:style w:type="character" w:styleId="Style23">
    <w:name w:val="節 字元"/>
    <w:qFormat/>
    <w:rPr>
      <w:rFonts w:ascii="標楷體" w:hAnsi="標楷體" w:eastAsia="標楷體"/>
      <w:b/>
      <w:color w:val="000000"/>
      <w:kern w:val="2"/>
      <w:sz w:val="32"/>
      <w:szCs w:val="32"/>
      <w:lang w:bidi="ar-SA"/>
    </w:rPr>
  </w:style>
  <w:style w:type="character" w:styleId="F011">
    <w:name w:val="f-011"/>
    <w:qFormat/>
    <w:rPr>
      <w:b/>
      <w:bCs/>
      <w:strike w:val="false"/>
      <w:dstrike w:val="false"/>
      <w:color w:val="666633"/>
      <w:sz w:val="24"/>
      <w:szCs w:val="24"/>
      <w:u w:val="none"/>
    </w:rPr>
  </w:style>
  <w:style w:type="character" w:styleId="Mainfont131">
    <w:name w:val="main_font131"/>
    <w:qFormat/>
    <w:rPr>
      <w:rFonts w:ascii="Arial" w:hAnsi="Arial" w:cs="Arial"/>
      <w:color w:val="797979"/>
      <w:sz w:val="23"/>
      <w:szCs w:val="23"/>
    </w:rPr>
  </w:style>
  <w:style w:type="character" w:styleId="Googqstidbit1">
    <w:name w:val="goog_qs-tidbit-1"/>
    <w:basedOn w:val="Style5"/>
    <w:qFormat/>
    <w:rPr/>
  </w:style>
  <w:style w:type="character" w:styleId="110111">
    <w:name w:val="標題110/111 字元 字元"/>
    <w:qFormat/>
    <w:rPr>
      <w:rFonts w:ascii="標楷體" w:hAnsi="標楷體" w:eastAsia="標楷體"/>
      <w:bCs/>
      <w:sz w:val="32"/>
      <w:szCs w:val="48"/>
      <w:lang w:val="en-US" w:eastAsia="zh-TW" w:bidi="ar-SA"/>
    </w:rPr>
  </w:style>
  <w:style w:type="character" w:styleId="Style24">
    <w:name w:val="一 字元"/>
    <w:qFormat/>
    <w:rPr>
      <w:rFonts w:ascii="標楷體" w:hAnsi="標楷體" w:eastAsia="標楷體"/>
      <w:sz w:val="32"/>
      <w:lang w:val="en-US" w:eastAsia="zh-TW" w:bidi="ar-SA"/>
    </w:rPr>
  </w:style>
  <w:style w:type="character" w:styleId="C11">
    <w:name w:val="c11"/>
    <w:qFormat/>
    <w:rPr>
      <w:rFonts w:ascii="Verdana" w:hAnsi="Verdana"/>
      <w:b w:val="false"/>
      <w:bCs w:val="false"/>
      <w:strike w:val="false"/>
      <w:dstrike w:val="false"/>
      <w:color w:val="333333"/>
      <w:spacing w:val="8"/>
      <w:sz w:val="21"/>
      <w:szCs w:val="21"/>
      <w:u w:val="none"/>
    </w:rPr>
  </w:style>
  <w:style w:type="character" w:styleId="23">
    <w:name w:val="字元 字元23"/>
    <w:qFormat/>
    <w:rPr>
      <w:rFonts w:eastAsia="標楷體"/>
      <w:kern w:val="2"/>
      <w:sz w:val="28"/>
      <w:szCs w:val="24"/>
      <w:lang w:bidi="ar-SA"/>
    </w:rPr>
  </w:style>
  <w:style w:type="character" w:styleId="20">
    <w:name w:val="字元 字元20"/>
    <w:qFormat/>
    <w:rPr>
      <w:rFonts w:ascii="標楷體" w:hAnsi="標楷體" w:eastAsia="標楷體"/>
      <w:kern w:val="2"/>
      <w:sz w:val="32"/>
      <w:szCs w:val="36"/>
    </w:rPr>
  </w:style>
  <w:style w:type="character" w:styleId="Myspan">
    <w:name w:val="myspan"/>
    <w:basedOn w:val="Style5"/>
    <w:qFormat/>
    <w:rPr/>
  </w:style>
  <w:style w:type="character" w:styleId="Heading1Char">
    <w:name w:val="Heading 1 Char"/>
    <w:qFormat/>
    <w:rPr>
      <w:rFonts w:ascii="標楷體" w:hAnsi="標楷體" w:eastAsia="標楷體"/>
      <w:kern w:val="2"/>
      <w:sz w:val="24"/>
      <w:lang w:val="en-US" w:eastAsia="zh-TW"/>
    </w:rPr>
  </w:style>
  <w:style w:type="character" w:styleId="Heading2Char1">
    <w:name w:val="Heading 2 Char1"/>
    <w:qFormat/>
    <w:rPr>
      <w:rFonts w:ascii="Arial" w:hAnsi="Arial" w:eastAsia="新細明體"/>
      <w:b/>
      <w:kern w:val="2"/>
      <w:sz w:val="48"/>
    </w:rPr>
  </w:style>
  <w:style w:type="character" w:styleId="Heading4Char">
    <w:name w:val="Heading 4 Char"/>
    <w:qFormat/>
    <w:rPr>
      <w:rFonts w:ascii="標楷體" w:hAnsi="標楷體" w:eastAsia="標楷體"/>
      <w:kern w:val="2"/>
      <w:sz w:val="36"/>
      <w:lang w:val="en-US" w:eastAsia="zh-TW"/>
    </w:rPr>
  </w:style>
  <w:style w:type="character" w:styleId="Heading5Char">
    <w:name w:val="Heading 5 Char"/>
    <w:qFormat/>
    <w:rPr>
      <w:rFonts w:ascii="標楷體" w:hAnsi="標楷體" w:eastAsia="標楷體"/>
      <w:kern w:val="2"/>
      <w:sz w:val="36"/>
      <w:lang w:val="en-US" w:eastAsia="zh-TW"/>
    </w:rPr>
  </w:style>
  <w:style w:type="character" w:styleId="Heading6Char">
    <w:name w:val="Heading 6 Char"/>
    <w:qFormat/>
    <w:rPr>
      <w:rFonts w:ascii="標楷體" w:hAnsi="標楷體" w:eastAsia="標楷體"/>
      <w:kern w:val="2"/>
      <w:sz w:val="36"/>
      <w:lang w:val="en-US" w:eastAsia="zh-TW"/>
    </w:rPr>
  </w:style>
  <w:style w:type="character" w:styleId="Heading7Char">
    <w:name w:val="Heading 7 Char"/>
    <w:qFormat/>
    <w:rPr>
      <w:rFonts w:ascii="標楷體" w:hAnsi="標楷體" w:eastAsia="標楷體"/>
      <w:kern w:val="2"/>
      <w:sz w:val="36"/>
      <w:lang w:val="en-US" w:eastAsia="zh-TW"/>
    </w:rPr>
  </w:style>
  <w:style w:type="character" w:styleId="Heading8Char">
    <w:name w:val="Heading 8 Char"/>
    <w:qFormat/>
    <w:rPr>
      <w:rFonts w:ascii="標楷體" w:hAnsi="標楷體" w:eastAsia="標楷體"/>
      <w:kern w:val="2"/>
      <w:sz w:val="36"/>
      <w:lang w:val="en-US" w:eastAsia="zh-TW"/>
    </w:rPr>
  </w:style>
  <w:style w:type="character" w:styleId="Heading9Char">
    <w:name w:val="Heading 9 Char"/>
    <w:qFormat/>
    <w:rPr>
      <w:rFonts w:ascii="Arial" w:hAnsi="Arial" w:eastAsia="新細明體"/>
      <w:kern w:val="2"/>
      <w:sz w:val="36"/>
      <w:lang w:val="en-US" w:eastAsia="zh-TW"/>
    </w:rPr>
  </w:style>
  <w:style w:type="character" w:styleId="BalloonTextChar">
    <w:name w:val="Balloon Text Char"/>
    <w:qFormat/>
    <w:rPr>
      <w:rFonts w:ascii="Arial" w:hAnsi="Arial" w:eastAsia="新細明體"/>
      <w:kern w:val="2"/>
      <w:sz w:val="18"/>
      <w:lang w:val="en-US" w:eastAsia="zh-TW"/>
    </w:rPr>
  </w:style>
  <w:style w:type="character" w:styleId="BodyText2Char1">
    <w:name w:val="Body Text 2 Char1"/>
    <w:qFormat/>
    <w:rPr>
      <w:rFonts w:ascii="標楷體" w:hAnsi="標楷體" w:eastAsia="標楷體"/>
      <w:kern w:val="2"/>
      <w:sz w:val="22"/>
      <w:lang w:val="en-US" w:eastAsia="zh-TW"/>
    </w:rPr>
  </w:style>
  <w:style w:type="character" w:styleId="FooterChar1">
    <w:name w:val="Footer Char1"/>
    <w:qFormat/>
    <w:rPr>
      <w:rFonts w:eastAsia="新細明體"/>
      <w:kern w:val="2"/>
      <w:lang w:val="en-US" w:eastAsia="zh-TW"/>
    </w:rPr>
  </w:style>
  <w:style w:type="character" w:styleId="HeaderChar">
    <w:name w:val="Header Char"/>
    <w:qFormat/>
    <w:rPr>
      <w:rFonts w:eastAsia="新細明體"/>
      <w:kern w:val="2"/>
      <w:lang w:val="en-US" w:eastAsia="zh-TW"/>
    </w:rPr>
  </w:style>
  <w:style w:type="character" w:styleId="PlainTextChar">
    <w:name w:val="Plain Text Char"/>
    <w:qFormat/>
    <w:rPr>
      <w:rFonts w:ascii="細明體" w:hAnsi="細明體" w:eastAsia="細明體"/>
      <w:kern w:val="2"/>
      <w:sz w:val="24"/>
      <w:lang w:val="en-US" w:eastAsia="zh-TW"/>
    </w:rPr>
  </w:style>
  <w:style w:type="character" w:styleId="BodyTextIndentChar">
    <w:name w:val="Body Text Indent Char"/>
    <w:qFormat/>
    <w:rPr>
      <w:rFonts w:ascii="標楷體" w:hAnsi="標楷體" w:eastAsia="標楷體"/>
      <w:kern w:val="2"/>
      <w:sz w:val="24"/>
      <w:lang w:val="en-US" w:eastAsia="zh-TW"/>
    </w:rPr>
  </w:style>
  <w:style w:type="character" w:styleId="CommentSubjectChar">
    <w:name w:val="Comment Subject Char"/>
    <w:qFormat/>
    <w:rPr>
      <w:rFonts w:ascii="細明體" w:hAnsi="細明體" w:eastAsia="細明體"/>
      <w:kern w:val="2"/>
      <w:sz w:val="24"/>
      <w:lang w:val="en-US" w:eastAsia="zh-TW"/>
    </w:rPr>
  </w:style>
  <w:style w:type="character" w:styleId="15">
    <w:name w:val="樣式1 字元"/>
    <w:qFormat/>
    <w:rPr>
      <w:rFonts w:ascii="標楷體" w:hAnsi="標楷體" w:eastAsia="標楷體"/>
      <w:b/>
      <w:kern w:val="2"/>
      <w:sz w:val="32"/>
      <w:szCs w:val="32"/>
    </w:rPr>
  </w:style>
  <w:style w:type="character" w:styleId="24">
    <w:name w:val="樣式2 字元"/>
    <w:qFormat/>
    <w:rPr>
      <w:rFonts w:ascii="標楷體" w:hAnsi="標楷體" w:eastAsia="標楷體"/>
      <w:b w:val="false"/>
      <w:spacing w:val="-6"/>
      <w:kern w:val="2"/>
      <w:sz w:val="32"/>
      <w:szCs w:val="32"/>
    </w:rPr>
  </w:style>
  <w:style w:type="character" w:styleId="WWCharLFO1LVL1">
    <w:name w:val="WW_CharLFO1LVL1"/>
    <w:qFormat/>
    <w:rPr>
      <w:rFonts w:eastAsia="標楷體"/>
      <w:b/>
      <w:sz w:val="32"/>
      <w:szCs w:val="32"/>
    </w:rPr>
  </w:style>
  <w:style w:type="character" w:styleId="WWCharLFO1LVL2">
    <w:name w:val="WW_CharLFO1LVL2"/>
    <w:qFormat/>
    <w:rPr>
      <w:sz w:val="32"/>
    </w:rPr>
  </w:style>
  <w:style w:type="character" w:styleId="WWCharLFO6LVL1">
    <w:name w:val="WW_CharLFO6LVL1"/>
    <w:qFormat/>
    <w:rPr>
      <w:color w:val="000000"/>
    </w:rPr>
  </w:style>
  <w:style w:type="character" w:styleId="WWCharLFO6LVL2">
    <w:name w:val="WW_CharLFO6LVL2"/>
    <w:qFormat/>
    <w:rPr>
      <w:color w:val="000000"/>
    </w:rPr>
  </w:style>
  <w:style w:type="character" w:styleId="WWCharLFO6LVL3">
    <w:name w:val="WW_CharLFO6LVL3"/>
    <w:qFormat/>
    <w:rPr>
      <w:color w:val="000000"/>
    </w:rPr>
  </w:style>
  <w:style w:type="character" w:styleId="WWCharLFO6LVL4">
    <w:name w:val="WW_CharLFO6LVL4"/>
    <w:qFormat/>
    <w:rPr>
      <w:color w:val="000000"/>
    </w:rPr>
  </w:style>
  <w:style w:type="character" w:styleId="WWCharLFO6LVL5">
    <w:name w:val="WW_CharLFO6LVL5"/>
    <w:qFormat/>
    <w:rPr>
      <w:color w:val="000000"/>
    </w:rPr>
  </w:style>
  <w:style w:type="character" w:styleId="WWCharLFO8LVL1">
    <w:name w:val="WW_CharLFO8LVL1"/>
    <w:qFormat/>
    <w:rPr>
      <w:rFonts w:ascii="標楷體" w:hAnsi="標楷體" w:eastAsia="標楷體" w:cs="Times New Roman"/>
    </w:rPr>
  </w:style>
  <w:style w:type="character" w:styleId="WWCharLFO8LVL2">
    <w:name w:val="WW_CharLFO8LVL2"/>
    <w:qFormat/>
    <w:rPr>
      <w:rFonts w:cs="Times New Roman"/>
    </w:rPr>
  </w:style>
  <w:style w:type="character" w:styleId="WWCharLFO8LVL3">
    <w:name w:val="WW_CharLFO8LVL3"/>
    <w:qFormat/>
    <w:rPr>
      <w:rFonts w:cs="Times New Roman"/>
    </w:rPr>
  </w:style>
  <w:style w:type="character" w:styleId="WWCharLFO8LVL4">
    <w:name w:val="WW_CharLFO8LVL4"/>
    <w:qFormat/>
    <w:rPr>
      <w:rFonts w:cs="Times New Roman"/>
    </w:rPr>
  </w:style>
  <w:style w:type="character" w:styleId="WWCharLFO8LVL5">
    <w:name w:val="WW_CharLFO8LVL5"/>
    <w:qFormat/>
    <w:rPr>
      <w:rFonts w:cs="Times New Roman"/>
    </w:rPr>
  </w:style>
  <w:style w:type="character" w:styleId="WWCharLFO8LVL6">
    <w:name w:val="WW_CharLFO8LVL6"/>
    <w:qFormat/>
    <w:rPr>
      <w:rFonts w:cs="Times New Roman"/>
    </w:rPr>
  </w:style>
  <w:style w:type="character" w:styleId="WWCharLFO8LVL7">
    <w:name w:val="WW_CharLFO8LVL7"/>
    <w:qFormat/>
    <w:rPr>
      <w:rFonts w:cs="Times New Roman"/>
    </w:rPr>
  </w:style>
  <w:style w:type="character" w:styleId="WWCharLFO8LVL8">
    <w:name w:val="WW_CharLFO8LVL8"/>
    <w:qFormat/>
    <w:rPr>
      <w:rFonts w:cs="Times New Roman"/>
    </w:rPr>
  </w:style>
  <w:style w:type="character" w:styleId="WWCharLFO8LVL9">
    <w:name w:val="WW_CharLFO8LVL9"/>
    <w:qFormat/>
    <w:rPr>
      <w:rFonts w:cs="Times New Roman"/>
    </w:rPr>
  </w:style>
  <w:style w:type="character" w:styleId="WWCharLFO10LVL1">
    <w:name w:val="WW_CharLFO10LVL1"/>
    <w:qFormat/>
    <w:rPr>
      <w:color w:val="auto"/>
      <w:sz w:val="28"/>
    </w:rPr>
  </w:style>
  <w:style w:type="character" w:styleId="WWCharLFO10LVL2">
    <w:name w:val="WW_CharLFO10LVL2"/>
    <w:qFormat/>
    <w:rPr>
      <w:color w:val="auto"/>
      <w:sz w:val="28"/>
    </w:rPr>
  </w:style>
  <w:style w:type="character" w:styleId="WWCharLFO10LVL3">
    <w:name w:val="WW_CharLFO10LVL3"/>
    <w:qFormat/>
    <w:rPr>
      <w:rFonts w:ascii="標楷體" w:hAnsi="標楷體" w:eastAsia="標楷體"/>
      <w:b w:val="false"/>
    </w:rPr>
  </w:style>
  <w:style w:type="character" w:styleId="WWCharLFO10LVL4">
    <w:name w:val="WW_CharLFO10LVL4"/>
    <w:qFormat/>
    <w:rPr>
      <w:rFonts w:ascii="標楷體" w:hAnsi="標楷體" w:eastAsia="標楷體"/>
      <w:b w:val="false"/>
    </w:rPr>
  </w:style>
  <w:style w:type="character" w:styleId="WWCharLFO11LVL1">
    <w:name w:val="WW_CharLFO11LVL1"/>
    <w:qFormat/>
    <w:rPr>
      <w:color w:val="auto"/>
      <w:sz w:val="28"/>
    </w:rPr>
  </w:style>
  <w:style w:type="character" w:styleId="WWCharLFO12LVL1">
    <w:name w:val="WW_CharLFO12LVL1"/>
    <w:qFormat/>
    <w:rPr>
      <w:color w:val="auto"/>
      <w:sz w:val="28"/>
    </w:rPr>
  </w:style>
  <w:style w:type="character" w:styleId="WWCharLFO13LVL1">
    <w:name w:val="WW_CharLFO13LVL1"/>
    <w:qFormat/>
    <w:rPr>
      <w:rFonts w:ascii="標楷體" w:hAnsi="標楷體" w:eastAsia="標楷體"/>
    </w:rPr>
  </w:style>
  <w:style w:type="character" w:styleId="WWCharLFO14LVL1">
    <w:name w:val="WW_CharLFO14LVL1"/>
    <w:qFormat/>
    <w:rPr>
      <w:rFonts w:ascii="標楷體" w:hAnsi="標楷體" w:eastAsia="標楷體"/>
    </w:rPr>
  </w:style>
  <w:style w:type="character" w:styleId="WWCharLFO15LVL1">
    <w:name w:val="WW_CharLFO15LVL1"/>
    <w:qFormat/>
    <w:rPr>
      <w:lang w:val="en-US"/>
    </w:rPr>
  </w:style>
  <w:style w:type="character" w:styleId="WWCharLFO20LVL1">
    <w:name w:val="WW_CharLFO20LVL1"/>
    <w:qFormat/>
    <w:rPr>
      <w:lang w:val="en-US"/>
    </w:rPr>
  </w:style>
  <w:style w:type="character" w:styleId="WWCharLFO22LVL1">
    <w:name w:val="WW_CharLFO22LVL1"/>
    <w:qFormat/>
    <w:rPr>
      <w:rFonts w:cs="Times New Roman"/>
    </w:rPr>
  </w:style>
  <w:style w:type="character" w:styleId="WWCharLFO22LVL2">
    <w:name w:val="WW_CharLFO22LVL2"/>
    <w:qFormat/>
    <w:rPr>
      <w:rFonts w:cs="Times New Roman"/>
    </w:rPr>
  </w:style>
  <w:style w:type="character" w:styleId="WWCharLFO22LVL3">
    <w:name w:val="WW_CharLFO22LVL3"/>
    <w:qFormat/>
    <w:rPr>
      <w:rFonts w:cs="Times New Roman"/>
    </w:rPr>
  </w:style>
  <w:style w:type="character" w:styleId="WWCharLFO22LVL4">
    <w:name w:val="WW_CharLFO22LVL4"/>
    <w:qFormat/>
    <w:rPr>
      <w:rFonts w:cs="Times New Roman"/>
    </w:rPr>
  </w:style>
  <w:style w:type="character" w:styleId="WWCharLFO22LVL5">
    <w:name w:val="WW_CharLFO22LVL5"/>
    <w:qFormat/>
    <w:rPr>
      <w:rFonts w:cs="Times New Roman"/>
    </w:rPr>
  </w:style>
  <w:style w:type="character" w:styleId="WWCharLFO22LVL6">
    <w:name w:val="WW_CharLFO22LVL6"/>
    <w:qFormat/>
    <w:rPr>
      <w:rFonts w:cs="Times New Roman"/>
    </w:rPr>
  </w:style>
  <w:style w:type="character" w:styleId="WWCharLFO22LVL7">
    <w:name w:val="WW_CharLFO22LVL7"/>
    <w:qFormat/>
    <w:rPr>
      <w:rFonts w:cs="Times New Roman"/>
    </w:rPr>
  </w:style>
  <w:style w:type="character" w:styleId="WWCharLFO22LVL8">
    <w:name w:val="WW_CharLFO22LVL8"/>
    <w:qFormat/>
    <w:rPr>
      <w:rFonts w:cs="Times New Roman"/>
    </w:rPr>
  </w:style>
  <w:style w:type="character" w:styleId="WWCharLFO22LVL9">
    <w:name w:val="WW_CharLFO22LVL9"/>
    <w:qFormat/>
    <w:rPr>
      <w:rFonts w:cs="Times New Roman"/>
    </w:rPr>
  </w:style>
  <w:style w:type="character" w:styleId="WWCharLFO23LVL1">
    <w:name w:val="WW_CharLFO23LVL1"/>
    <w:qFormat/>
    <w:rPr>
      <w:rFonts w:cs="Times New Roman"/>
    </w:rPr>
  </w:style>
  <w:style w:type="character" w:styleId="WWCharLFO23LVL2">
    <w:name w:val="WW_CharLFO23LVL2"/>
    <w:qFormat/>
    <w:rPr>
      <w:rFonts w:cs="Times New Roman"/>
    </w:rPr>
  </w:style>
  <w:style w:type="character" w:styleId="WWCharLFO23LVL3">
    <w:name w:val="WW_CharLFO23LVL3"/>
    <w:qFormat/>
    <w:rPr>
      <w:rFonts w:cs="Times New Roman"/>
    </w:rPr>
  </w:style>
  <w:style w:type="character" w:styleId="WWCharLFO23LVL4">
    <w:name w:val="WW_CharLFO23LVL4"/>
    <w:qFormat/>
    <w:rPr>
      <w:rFonts w:cs="Times New Roman"/>
    </w:rPr>
  </w:style>
  <w:style w:type="character" w:styleId="WWCharLFO23LVL5">
    <w:name w:val="WW_CharLFO23LVL5"/>
    <w:qFormat/>
    <w:rPr>
      <w:rFonts w:cs="Times New Roman"/>
    </w:rPr>
  </w:style>
  <w:style w:type="character" w:styleId="WWCharLFO23LVL6">
    <w:name w:val="WW_CharLFO23LVL6"/>
    <w:qFormat/>
    <w:rPr>
      <w:rFonts w:cs="Times New Roman"/>
    </w:rPr>
  </w:style>
  <w:style w:type="character" w:styleId="WWCharLFO23LVL7">
    <w:name w:val="WW_CharLFO23LVL7"/>
    <w:qFormat/>
    <w:rPr>
      <w:rFonts w:cs="Times New Roman"/>
    </w:rPr>
  </w:style>
  <w:style w:type="character" w:styleId="WWCharLFO23LVL8">
    <w:name w:val="WW_CharLFO23LVL8"/>
    <w:qFormat/>
    <w:rPr>
      <w:rFonts w:cs="Times New Roman"/>
    </w:rPr>
  </w:style>
  <w:style w:type="character" w:styleId="WWCharLFO23LVL9">
    <w:name w:val="WW_CharLFO23LVL9"/>
    <w:qFormat/>
    <w:rPr>
      <w:rFonts w:cs="Times New Roman"/>
    </w:rPr>
  </w:style>
  <w:style w:type="character" w:styleId="WWCharLFO24LVL1">
    <w:name w:val="WW_CharLFO24LVL1"/>
    <w:qFormat/>
    <w:rPr>
      <w:b w:val="false"/>
    </w:rPr>
  </w:style>
  <w:style w:type="character" w:styleId="WWCharLFO25LVL1">
    <w:name w:val="WW_CharLFO25LVL1"/>
    <w:qFormat/>
    <w:rPr>
      <w:rFonts w:ascii="標楷體" w:hAnsi="標楷體"/>
      <w:b w:val="false"/>
    </w:rPr>
  </w:style>
  <w:style w:type="character" w:styleId="WWCharLFO29LVL1">
    <w:name w:val="WW_CharLFO29LVL1"/>
    <w:qFormat/>
    <w:rPr>
      <w:rFonts w:eastAsia="標楷體"/>
      <w:b/>
      <w:sz w:val="32"/>
      <w:szCs w:val="32"/>
    </w:rPr>
  </w:style>
  <w:style w:type="character" w:styleId="WWCharLFO29LVL2">
    <w:name w:val="WW_CharLFO29LVL2"/>
    <w:qFormat/>
    <w:rPr>
      <w:sz w:val="32"/>
    </w:rPr>
  </w:style>
  <w:style w:type="character" w:styleId="WWCharLFO30LVL1">
    <w:name w:val="WW_CharLFO30LVL1"/>
    <w:qFormat/>
    <w:rPr>
      <w:rFonts w:ascii="標楷體" w:hAnsi="標楷體" w:eastAsia="標楷體"/>
      <w:b w:val="false"/>
    </w:rPr>
  </w:style>
  <w:style w:type="character" w:styleId="WWCharLFO31LVL1">
    <w:name w:val="WW_CharLFO31LVL1"/>
    <w:qFormat/>
    <w:rPr>
      <w:rFonts w:ascii="標楷體" w:hAnsi="標楷體" w:eastAsia="標楷體"/>
      <w:b w:val="false"/>
    </w:rPr>
  </w:style>
  <w:style w:type="character" w:styleId="WWCharLFO32LVL1">
    <w:name w:val="WW_CharLFO32LVL1"/>
    <w:qFormat/>
    <w:rPr>
      <w:rFonts w:ascii="標楷體" w:hAnsi="標楷體" w:eastAsia="標楷體"/>
      <w:b w:val="false"/>
    </w:rPr>
  </w:style>
  <w:style w:type="character" w:styleId="WWCharLFO33LVL1">
    <w:name w:val="WW_CharLFO33LVL1"/>
    <w:qFormat/>
    <w:rPr>
      <w:rFonts w:cs="Times New Roman"/>
      <w:sz w:val="24"/>
    </w:rPr>
  </w:style>
  <w:style w:type="character" w:styleId="WWCharLFO36LVL1">
    <w:name w:val="WW_CharLFO36LVL1"/>
    <w:qFormat/>
    <w:rPr>
      <w:rFonts w:ascii="標楷體" w:hAnsi="標楷體" w:eastAsia="標楷體"/>
      <w:b w:val="false"/>
      <w:sz w:val="24"/>
      <w:szCs w:val="28"/>
    </w:rPr>
  </w:style>
  <w:style w:type="character" w:styleId="WWCharLFO38LVL1">
    <w:name w:val="WW_CharLFO38LVL1"/>
    <w:qFormat/>
    <w:rPr>
      <w:rFonts w:eastAsia="標楷體"/>
      <w:b/>
      <w:sz w:val="32"/>
      <w:szCs w:val="32"/>
    </w:rPr>
  </w:style>
  <w:style w:type="character" w:styleId="WWCharLFO38LVL2">
    <w:name w:val="WW_CharLFO38LVL2"/>
    <w:qFormat/>
    <w:rPr>
      <w:sz w:val="32"/>
    </w:rPr>
  </w:style>
  <w:style w:type="character" w:styleId="WWCharLFO39LVL1">
    <w:name w:val="WW_CharLFO39LVL1"/>
    <w:qFormat/>
    <w:rPr>
      <w:rFonts w:eastAsia="標楷體"/>
      <w:b/>
      <w:sz w:val="32"/>
      <w:szCs w:val="32"/>
    </w:rPr>
  </w:style>
  <w:style w:type="character" w:styleId="WWCharLFO39LVL2">
    <w:name w:val="WW_CharLFO39LVL2"/>
    <w:qFormat/>
    <w:rPr>
      <w:sz w:val="32"/>
    </w:rPr>
  </w:style>
  <w:style w:type="character" w:styleId="WWCharLFO40LVL1">
    <w:name w:val="WW_CharLFO40LVL1"/>
    <w:qFormat/>
    <w:rPr>
      <w:rFonts w:eastAsia="標楷體"/>
      <w:b/>
      <w:sz w:val="32"/>
      <w:szCs w:val="32"/>
    </w:rPr>
  </w:style>
  <w:style w:type="character" w:styleId="WWCharLFO40LVL2">
    <w:name w:val="WW_CharLFO40LVL2"/>
    <w:qFormat/>
    <w:rPr>
      <w:sz w:val="32"/>
    </w:rPr>
  </w:style>
  <w:style w:type="character" w:styleId="WWCharLFO41LVL1">
    <w:name w:val="WW_CharLFO41LVL1"/>
    <w:qFormat/>
    <w:rPr>
      <w:color w:val="auto"/>
      <w:sz w:val="28"/>
    </w:rPr>
  </w:style>
  <w:style w:type="character" w:styleId="WWCharLFO42LVL1">
    <w:name w:val="WW_CharLFO42LVL1"/>
    <w:qFormat/>
    <w:rPr>
      <w:rFonts w:eastAsia="標楷體"/>
      <w:b/>
      <w:sz w:val="32"/>
      <w:szCs w:val="32"/>
    </w:rPr>
  </w:style>
  <w:style w:type="character" w:styleId="WWCharLFO42LVL2">
    <w:name w:val="WW_CharLFO42LVL2"/>
    <w:qFormat/>
    <w:rPr>
      <w:sz w:val="32"/>
    </w:rPr>
  </w:style>
  <w:style w:type="character" w:styleId="WWCharLFO49LVL1">
    <w:name w:val="WW_CharLFO49LVL1"/>
    <w:qFormat/>
    <w:rPr>
      <w:rFonts w:cs="Times New Roman"/>
      <w:strike w:val="false"/>
      <w:dstrike w:val="false"/>
    </w:rPr>
  </w:style>
  <w:style w:type="character" w:styleId="WWCharLFO50LVL1">
    <w:name w:val="WW_CharLFO50LVL1"/>
    <w:qFormat/>
    <w:rPr>
      <w:u w:val="none"/>
    </w:rPr>
  </w:style>
  <w:style w:type="paragraph" w:styleId="Style25">
    <w:name w:val="標題"/>
    <w:basedOn w:val="Normal"/>
    <w:next w:val="Style26"/>
    <w:qFormat/>
    <w:pPr>
      <w:keepNext w:val="true"/>
      <w:spacing w:before="240" w:after="120"/>
    </w:pPr>
    <w:rPr>
      <w:rFonts w:ascii="Liberation Sans" w:hAnsi="Liberation Sans" w:eastAsia="微軟正黑體" w:cs="Tahoma"/>
      <w:sz w:val="28"/>
      <w:szCs w:val="28"/>
    </w:rPr>
  </w:style>
  <w:style w:type="paragraph" w:styleId="Style26">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vertAlign w:val="baseline"/>
      <w:em w:val="none"/>
      <w:lang w:val="en-US" w:eastAsia="zh-TW" w:bidi="ar-SA"/>
    </w:rPr>
  </w:style>
  <w:style w:type="paragraph" w:styleId="Style27">
    <w:name w:val="註解方塊文字"/>
    <w:basedOn w:val="Style26"/>
    <w:qFormat/>
    <w:pPr>
      <w:suppressAutoHyphens w:val="true"/>
    </w:pPr>
    <w:rPr>
      <w:rFonts w:ascii="Arial" w:hAnsi="Arial"/>
      <w:sz w:val="18"/>
      <w:szCs w:val="18"/>
    </w:rPr>
  </w:style>
  <w:style w:type="paragraph" w:styleId="33">
    <w:name w:val="本文縮排 3"/>
    <w:basedOn w:val="Style26"/>
    <w:qFormat/>
    <w:pPr>
      <w:tabs>
        <w:tab w:val="clear" w:pos="480"/>
      </w:tabs>
      <w:suppressAutoHyphens w:val="true"/>
      <w:spacing w:lineRule="exact" w:line="500"/>
      <w:ind w:left="869" w:firstLine="1"/>
    </w:pPr>
    <w:rPr>
      <w:rFonts w:ascii="新細明體" w:hAnsi="新細明體"/>
      <w:sz w:val="28"/>
    </w:rPr>
  </w:style>
  <w:style w:type="paragraph" w:styleId="25">
    <w:name w:val="本文 2"/>
    <w:basedOn w:val="Style26"/>
    <w:qFormat/>
    <w:pPr>
      <w:suppressAutoHyphens w:val="true"/>
      <w:jc w:val="left"/>
    </w:pPr>
    <w:rPr>
      <w:rFonts w:ascii="標楷體" w:hAnsi="標楷體" w:eastAsia="標楷體"/>
      <w:szCs w:val="22"/>
    </w:rPr>
  </w:style>
  <w:style w:type="paragraph" w:styleId="Style28">
    <w:name w:val="頁首與頁尾"/>
    <w:basedOn w:val="Normal"/>
    <w:qFormat/>
    <w:pPr>
      <w:suppressLineNumbers/>
      <w:tabs>
        <w:tab w:val="clear" w:pos="480"/>
        <w:tab w:val="center" w:pos="4819" w:leader="none"/>
        <w:tab w:val="right" w:pos="9638" w:leader="none"/>
      </w:tabs>
    </w:pPr>
    <w:rPr/>
  </w:style>
  <w:style w:type="paragraph" w:styleId="Style29">
    <w:name w:val="Footer"/>
    <w:basedOn w:val="Style26"/>
    <w:pPr>
      <w:tabs>
        <w:tab w:val="clear" w:pos="480"/>
        <w:tab w:val="center" w:pos="4153" w:leader="none"/>
        <w:tab w:val="right" w:pos="8306" w:leader="none"/>
      </w:tabs>
      <w:suppressAutoHyphens w:val="true"/>
      <w:snapToGrid w:val="false"/>
    </w:pPr>
    <w:rPr>
      <w:sz w:val="20"/>
      <w:szCs w:val="20"/>
    </w:rPr>
  </w:style>
  <w:style w:type="paragraph" w:styleId="Style30">
    <w:name w:val="Header"/>
    <w:basedOn w:val="Style26"/>
    <w:pPr>
      <w:tabs>
        <w:tab w:val="clear" w:pos="480"/>
        <w:tab w:val="center" w:pos="4153" w:leader="none"/>
        <w:tab w:val="right" w:pos="8306" w:leader="none"/>
      </w:tabs>
      <w:suppressAutoHyphens w:val="true"/>
      <w:snapToGrid w:val="false"/>
    </w:pPr>
    <w:rPr>
      <w:sz w:val="20"/>
      <w:szCs w:val="20"/>
    </w:rPr>
  </w:style>
  <w:style w:type="paragraph" w:styleId="Web">
    <w:name w:val="內文 (Web)"/>
    <w:basedOn w:val="Style26"/>
    <w:qFormat/>
    <w:pPr>
      <w:widowControl/>
      <w:suppressAutoHyphens w:val="true"/>
      <w:spacing w:before="100" w:after="100"/>
    </w:pPr>
    <w:rPr>
      <w:rFonts w:ascii="新細明體" w:hAnsi="新細明體" w:cs="新細明體"/>
      <w:color w:val="666666"/>
      <w:kern w:val="0"/>
    </w:rPr>
  </w:style>
  <w:style w:type="paragraph" w:styleId="34">
    <w:name w:val="本文 3"/>
    <w:basedOn w:val="Style26"/>
    <w:qFormat/>
    <w:pPr>
      <w:suppressAutoHyphens w:val="true"/>
      <w:spacing w:before="0" w:after="120"/>
    </w:pPr>
    <w:rPr>
      <w:sz w:val="16"/>
      <w:szCs w:val="16"/>
    </w:rPr>
  </w:style>
  <w:style w:type="paragraph" w:styleId="Style31">
    <w:name w:val="本文"/>
    <w:basedOn w:val="Style26"/>
    <w:qFormat/>
    <w:pPr>
      <w:suppressAutoHyphens w:val="true"/>
      <w:spacing w:lineRule="exact" w:line="280"/>
      <w:jc w:val="both"/>
    </w:pPr>
    <w:rPr>
      <w:rFonts w:ascii="標楷體" w:hAnsi="標楷體" w:eastAsia="標楷體"/>
      <w:szCs w:val="22"/>
    </w:rPr>
  </w:style>
  <w:style w:type="paragraph" w:styleId="Style32">
    <w:name w:val="純文字"/>
    <w:basedOn w:val="Style26"/>
    <w:qFormat/>
    <w:pPr>
      <w:suppressAutoHyphens w:val="true"/>
    </w:pPr>
    <w:rPr>
      <w:rFonts w:ascii="細明體" w:hAnsi="細明體" w:eastAsia="細明體"/>
      <w:szCs w:val="20"/>
    </w:rPr>
  </w:style>
  <w:style w:type="paragraph" w:styleId="Style33">
    <w:name w:val="大標"/>
    <w:basedOn w:val="Style26"/>
    <w:qFormat/>
    <w:pPr>
      <w:suppressAutoHyphens w:val="true"/>
      <w:spacing w:lineRule="exact" w:line="520" w:before="0" w:after="180"/>
      <w:jc w:val="both"/>
    </w:pPr>
    <w:rPr>
      <w:rFonts w:eastAsia="華康粗明體"/>
      <w:sz w:val="28"/>
    </w:rPr>
  </w:style>
  <w:style w:type="paragraph" w:styleId="52">
    <w:name w:val="樣式5"/>
    <w:basedOn w:val="Style26"/>
    <w:qFormat/>
    <w:pPr>
      <w:tabs>
        <w:tab w:val="clear" w:pos="480"/>
      </w:tabs>
      <w:suppressAutoHyphens w:val="true"/>
      <w:snapToGrid w:val="false"/>
      <w:spacing w:lineRule="auto" w:before="180" w:after="0"/>
      <w:ind w:left="194" w:hanging="0"/>
      <w:jc w:val="right"/>
    </w:pPr>
    <w:rPr>
      <w:rFonts w:eastAsia="標楷體"/>
      <w:sz w:val="20"/>
      <w:szCs w:val="20"/>
    </w:rPr>
  </w:style>
  <w:style w:type="paragraph" w:styleId="Style34">
    <w:name w:val="本文縮排"/>
    <w:basedOn w:val="Style26"/>
    <w:qFormat/>
    <w:pPr>
      <w:tabs>
        <w:tab w:val="clear" w:pos="480"/>
      </w:tabs>
      <w:suppressAutoHyphens w:val="true"/>
      <w:spacing w:lineRule="exact" w:line="300"/>
      <w:ind w:left="1228" w:hanging="902"/>
    </w:pPr>
    <w:rPr>
      <w:rFonts w:ascii="標楷體" w:hAnsi="標楷體" w:eastAsia="標楷體"/>
      <w:sz w:val="28"/>
    </w:rPr>
  </w:style>
  <w:style w:type="paragraph" w:styleId="26">
    <w:name w:val="本文縮排 2"/>
    <w:basedOn w:val="Style26"/>
    <w:qFormat/>
    <w:pPr>
      <w:tabs>
        <w:tab w:val="clear" w:pos="480"/>
      </w:tabs>
      <w:suppressAutoHyphens w:val="true"/>
      <w:spacing w:lineRule="exact" w:line="300"/>
      <w:ind w:left="866" w:hanging="540"/>
      <w:jc w:val="both"/>
    </w:pPr>
    <w:rPr>
      <w:rFonts w:ascii="標楷體" w:hAnsi="標楷體" w:eastAsia="標楷體"/>
      <w:sz w:val="28"/>
    </w:rPr>
  </w:style>
  <w:style w:type="paragraph" w:styleId="Style35">
    <w:name w:val="(四)"/>
    <w:basedOn w:val="Style34"/>
    <w:qFormat/>
    <w:pPr>
      <w:suppressAutoHyphens w:val="true"/>
      <w:spacing w:lineRule="exact" w:line="400"/>
      <w:ind w:left="718" w:hanging="473"/>
      <w:jc w:val="both"/>
    </w:pPr>
    <w:rPr/>
  </w:style>
  <w:style w:type="paragraph" w:styleId="Style36">
    <w:name w:val="公文(後續段落)"/>
    <w:basedOn w:val="Style26"/>
    <w:qFormat/>
    <w:pPr>
      <w:tabs>
        <w:tab w:val="clear" w:pos="480"/>
      </w:tabs>
      <w:suppressAutoHyphens w:val="true"/>
      <w:spacing w:lineRule="atLeast" w:line="500"/>
      <w:ind w:left="317" w:hanging="0"/>
    </w:pPr>
    <w:rPr>
      <w:rFonts w:ascii="標楷體" w:hAnsi="標楷體" w:eastAsia="標楷體"/>
      <w:sz w:val="32"/>
    </w:rPr>
  </w:style>
  <w:style w:type="paragraph" w:styleId="Style37">
    <w:name w:val="清單段落"/>
    <w:basedOn w:val="Style26"/>
    <w:qFormat/>
    <w:pPr>
      <w:tabs>
        <w:tab w:val="clear" w:pos="480"/>
      </w:tabs>
      <w:suppressAutoHyphens w:val="true"/>
      <w:ind w:left="480" w:hanging="0"/>
    </w:pPr>
    <w:rPr>
      <w:rFonts w:ascii="Calibri" w:hAnsi="Calibri"/>
      <w:szCs w:val="22"/>
    </w:rPr>
  </w:style>
  <w:style w:type="paragraph" w:styleId="Style38">
    <w:name w:val="註解主旨"/>
    <w:basedOn w:val="Style39"/>
    <w:next w:val="Style39"/>
    <w:qFormat/>
    <w:pPr>
      <w:suppressAutoHyphens w:val="true"/>
    </w:pPr>
    <w:rPr>
      <w:rFonts w:ascii="細明體" w:hAnsi="細明體" w:eastAsia="細明體"/>
      <w:szCs w:val="20"/>
    </w:rPr>
  </w:style>
  <w:style w:type="paragraph" w:styleId="Style39">
    <w:name w:val="註解文字"/>
    <w:basedOn w:val="Style26"/>
    <w:qFormat/>
    <w:pPr>
      <w:suppressAutoHyphens w:val="true"/>
    </w:pPr>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標楷體" w:hAnsi="標楷體" w:eastAsia="標楷體" w:cs="標楷體"/>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vertAlign w:val="baseline"/>
      <w:em w:val="none"/>
      <w:lang w:val="en-US" w:eastAsia="zh-TW" w:bidi="ar-SA"/>
    </w:rPr>
  </w:style>
  <w:style w:type="paragraph" w:styleId="Style40">
    <w:name w:val="表格內文(置中)"/>
    <w:qFormat/>
    <w:pPr>
      <w:keepNext w:val="false"/>
      <w:keepLines w:val="false"/>
      <w:pageBreakBefore w:val="false"/>
      <w:widowControl/>
      <w:pBdr/>
      <w:shd w:fill="auto" w:val="clear"/>
      <w:suppressAutoHyphens w:val="true"/>
      <w:kinsoku w:val="true"/>
      <w:overflowPunct w:val="true"/>
      <w:autoSpaceDE w:val="true"/>
      <w:bidi w:val="0"/>
      <w:snapToGrid w:val="false"/>
      <w:spacing w:before="60" w:after="60" w:lineRule="auto" w:line="240"/>
      <w:jc w:val="center"/>
    </w:pPr>
    <w:rPr>
      <w:rFonts w:eastAsia="標楷體" w:ascii="Times New Roman" w:hAnsi="Times New Roman"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8"/>
      <w:sz w:val="28"/>
      <w:szCs w:val="20"/>
      <w:u w:val="none"/>
      <w:vertAlign w:val="baseline"/>
      <w:em w:val="none"/>
      <w:lang w:val="en-US" w:eastAsia="zh-TW" w:bidi="ar-SA"/>
    </w:rPr>
  </w:style>
  <w:style w:type="paragraph" w:styleId="A">
    <w:name w:val="a"/>
    <w:basedOn w:val="Style26"/>
    <w:qFormat/>
    <w:pPr>
      <w:widowControl/>
      <w:suppressAutoHyphens w:val="true"/>
      <w:spacing w:before="100" w:after="100"/>
    </w:pPr>
    <w:rPr>
      <w:rFonts w:ascii="新細明體" w:hAnsi="新細明體" w:cs="新細明體"/>
      <w:kern w:val="0"/>
    </w:rPr>
  </w:style>
  <w:style w:type="paragraph" w:styleId="35">
    <w:name w:val="標題3"/>
    <w:basedOn w:val="Style26"/>
    <w:qFormat/>
    <w:pPr>
      <w:suppressAutoHyphens w:val="true"/>
      <w:overflowPunct w:val="false"/>
      <w:autoSpaceDE w:val="false"/>
      <w:spacing w:lineRule="atLeast" w:line="420" w:before="300" w:after="300"/>
      <w:jc w:val="both"/>
      <w:textAlignment w:val="bottom"/>
      <w:outlineLvl w:val="2"/>
    </w:pPr>
    <w:rPr>
      <w:rFonts w:ascii="華康粗黑體" w:hAnsi="華康粗黑體" w:eastAsia="華康粗黑體"/>
      <w:kern w:val="0"/>
      <w:sz w:val="30"/>
      <w:szCs w:val="20"/>
    </w:rPr>
  </w:style>
  <w:style w:type="paragraph" w:styleId="16">
    <w:name w:val="樣式1"/>
    <w:basedOn w:val="Style26"/>
    <w:qFormat/>
    <w:pPr>
      <w:numPr>
        <w:ilvl w:val="0"/>
        <w:numId w:val="2"/>
      </w:numPr>
      <w:suppressAutoHyphens w:val="true"/>
    </w:pPr>
    <w:rPr>
      <w:rFonts w:ascii="標楷體" w:hAnsi="標楷體" w:eastAsia="標楷體"/>
      <w:b/>
      <w:sz w:val="32"/>
      <w:szCs w:val="32"/>
    </w:rPr>
  </w:style>
  <w:style w:type="paragraph" w:styleId="27">
    <w:name w:val="樣式2"/>
    <w:basedOn w:val="Style26"/>
    <w:qFormat/>
    <w:pPr>
      <w:numPr>
        <w:ilvl w:val="0"/>
        <w:numId w:val="3"/>
      </w:numPr>
      <w:suppressAutoHyphens w:val="true"/>
      <w:spacing w:lineRule="exact" w:line="480"/>
      <w:jc w:val="both"/>
    </w:pPr>
    <w:rPr>
      <w:rFonts w:ascii="標楷體" w:hAnsi="標楷體" w:eastAsia="標楷體"/>
      <w:spacing w:val="-6"/>
      <w:sz w:val="32"/>
      <w:szCs w:val="32"/>
    </w:rPr>
  </w:style>
  <w:style w:type="paragraph" w:styleId="Style41">
    <w:name w:val="圖"/>
    <w:basedOn w:val="Style26"/>
    <w:qFormat/>
    <w:pPr>
      <w:suppressAutoHyphens w:val="true"/>
      <w:jc w:val="center"/>
    </w:pPr>
    <w:rPr>
      <w:rFonts w:ascii="標楷體" w:hAnsi="標楷體" w:eastAsia="標楷體"/>
      <w:sz w:val="28"/>
      <w:szCs w:val="28"/>
    </w:rPr>
  </w:style>
  <w:style w:type="paragraph" w:styleId="17">
    <w:name w:val="目錄 1"/>
    <w:basedOn w:val="Style26"/>
    <w:next w:val="Style26"/>
    <w:autoRedefine/>
    <w:qFormat/>
    <w:pPr>
      <w:tabs>
        <w:tab w:val="clear" w:pos="480"/>
        <w:tab w:val="right" w:pos="9628" w:leader="dot"/>
      </w:tabs>
      <w:suppressAutoHyphens w:val="true"/>
      <w:spacing w:lineRule="exact" w:line="440"/>
      <w:jc w:val="center"/>
    </w:pPr>
    <w:rPr>
      <w:rFonts w:eastAsia="標楷體"/>
      <w:sz w:val="36"/>
      <w:szCs w:val="36"/>
    </w:rPr>
  </w:style>
  <w:style w:type="paragraph" w:styleId="28">
    <w:name w:val="目錄 2"/>
    <w:basedOn w:val="Style26"/>
    <w:next w:val="Style26"/>
    <w:autoRedefine/>
    <w:qFormat/>
    <w:pPr>
      <w:tabs>
        <w:tab w:val="clear" w:pos="480"/>
        <w:tab w:val="right" w:pos="9628" w:leader="dot"/>
      </w:tabs>
      <w:suppressAutoHyphens w:val="true"/>
      <w:spacing w:lineRule="exact" w:line="480"/>
      <w:ind w:left="988" w:hanging="566"/>
    </w:pPr>
    <w:rPr/>
  </w:style>
  <w:style w:type="paragraph" w:styleId="Style42">
    <w:name w:val="目錄標題"/>
    <w:basedOn w:val="1"/>
    <w:next w:val="Style26"/>
    <w:qFormat/>
    <w:pPr>
      <w:keepLines/>
      <w:widowControl/>
      <w:numPr>
        <w:ilvl w:val="0"/>
        <w:numId w:val="0"/>
      </w:numPr>
      <w:suppressAutoHyphens w:val="true"/>
      <w:spacing w:lineRule="auto" w:line="276" w:before="480" w:after="0"/>
    </w:pPr>
    <w:rPr>
      <w:rFonts w:ascii="Cambria" w:hAnsi="Cambria" w:eastAsia="新細明體"/>
      <w:b/>
      <w:bCs/>
      <w:color w:val="365F91"/>
      <w:kern w:val="0"/>
      <w:szCs w:val="28"/>
    </w:rPr>
  </w:style>
  <w:style w:type="paragraph" w:styleId="36">
    <w:name w:val="目錄 3"/>
    <w:basedOn w:val="Style26"/>
    <w:next w:val="Style26"/>
    <w:autoRedefine/>
    <w:qFormat/>
    <w:pPr>
      <w:widowControl/>
      <w:tabs>
        <w:tab w:val="clear" w:pos="480"/>
      </w:tabs>
      <w:suppressAutoHyphens w:val="true"/>
      <w:spacing w:lineRule="auto" w:line="276" w:before="0" w:after="100"/>
      <w:ind w:left="440" w:hanging="0"/>
    </w:pPr>
    <w:rPr>
      <w:rFonts w:ascii="Calibri" w:hAnsi="Calibri"/>
      <w:kern w:val="0"/>
      <w:sz w:val="22"/>
      <w:szCs w:val="22"/>
    </w:rPr>
  </w:style>
  <w:style w:type="paragraph" w:styleId="37">
    <w:name w:val="樣式3"/>
    <w:basedOn w:val="Style26"/>
    <w:qFormat/>
    <w:pPr>
      <w:widowControl/>
      <w:tabs>
        <w:tab w:val="clear" w:pos="480"/>
      </w:tabs>
      <w:suppressAutoHyphens w:val="true"/>
      <w:snapToGrid w:val="false"/>
      <w:spacing w:lineRule="exact" w:line="500"/>
      <w:ind w:left="2783" w:hanging="623"/>
      <w:jc w:val="both"/>
    </w:pPr>
    <w:rPr>
      <w:rFonts w:ascii="標楷體" w:hAnsi="標楷體" w:eastAsia="標楷體" w:cs="標楷體"/>
      <w:sz w:val="28"/>
      <w:szCs w:val="28"/>
    </w:rPr>
  </w:style>
  <w:style w:type="paragraph" w:styleId="Style43">
    <w:name w:val="圖表目錄"/>
    <w:basedOn w:val="Style26"/>
    <w:next w:val="Style26"/>
    <w:qFormat/>
    <w:pPr>
      <w:tabs>
        <w:tab w:val="clear" w:pos="480"/>
      </w:tabs>
      <w:suppressAutoHyphens w:val="true"/>
      <w:ind w:left="480" w:hanging="480"/>
    </w:pPr>
    <w:rPr>
      <w:rFonts w:ascii="Calibri" w:hAnsi="Calibri"/>
      <w:smallCaps/>
      <w:sz w:val="20"/>
      <w:szCs w:val="20"/>
    </w:rPr>
  </w:style>
  <w:style w:type="paragraph" w:styleId="43">
    <w:name w:val="樣式4"/>
    <w:basedOn w:val="Style26"/>
    <w:qFormat/>
    <w:pPr>
      <w:tabs>
        <w:tab w:val="clear" w:pos="480"/>
      </w:tabs>
      <w:suppressAutoHyphens w:val="true"/>
      <w:ind w:left="2041" w:hanging="765"/>
    </w:pPr>
    <w:rPr>
      <w:rFonts w:ascii="標楷體" w:hAnsi="標楷體" w:eastAsia="標楷體"/>
      <w:sz w:val="28"/>
      <w:szCs w:val="28"/>
    </w:rPr>
  </w:style>
  <w:style w:type="paragraph" w:styleId="Style44">
    <w:name w:val="表"/>
    <w:basedOn w:val="Style29"/>
    <w:qFormat/>
    <w:pPr>
      <w:tabs>
        <w:tab w:val="clear" w:pos="4153"/>
        <w:tab w:val="clear" w:pos="8306"/>
        <w:tab w:val="left" w:pos="5220" w:leader="none"/>
      </w:tabs>
      <w:suppressAutoHyphens w:val="true"/>
      <w:spacing w:lineRule="exact" w:line="400"/>
      <w:jc w:val="center"/>
    </w:pPr>
    <w:rPr>
      <w:rFonts w:eastAsia="標楷體"/>
      <w:sz w:val="28"/>
      <w:szCs w:val="28"/>
    </w:rPr>
  </w:style>
  <w:style w:type="paragraph" w:styleId="18">
    <w:name w:val="標題1內文"/>
    <w:basedOn w:val="Style26"/>
    <w:qFormat/>
    <w:pPr>
      <w:widowControl/>
      <w:tabs>
        <w:tab w:val="clear" w:pos="480"/>
        <w:tab w:val="left" w:pos="420" w:leader="none"/>
      </w:tabs>
      <w:suppressAutoHyphens w:val="true"/>
      <w:spacing w:lineRule="exact" w:line="480"/>
      <w:ind w:left="150" w:firstLine="200"/>
    </w:pPr>
    <w:rPr>
      <w:rFonts w:ascii="Book Antiqua" w:hAnsi="Book Antiqua" w:eastAsia="標楷體"/>
      <w:kern w:val="0"/>
      <w:sz w:val="28"/>
      <w:szCs w:val="21"/>
    </w:rPr>
  </w:style>
  <w:style w:type="paragraph" w:styleId="19">
    <w:name w:val="標題1項目符號"/>
    <w:basedOn w:val="Style26"/>
    <w:autoRedefine/>
    <w:qFormat/>
    <w:pPr>
      <w:widowControl/>
      <w:tabs>
        <w:tab w:val="clear" w:pos="480"/>
      </w:tabs>
      <w:suppressAutoHyphens w:val="true"/>
      <w:spacing w:lineRule="exact" w:line="520"/>
      <w:ind w:left="850" w:hanging="0"/>
      <w:jc w:val="both"/>
    </w:pPr>
    <w:rPr>
      <w:rFonts w:ascii="Book Antiqua" w:hAnsi="Book Antiqua" w:eastAsia="標楷體"/>
      <w:kern w:val="0"/>
      <w:sz w:val="28"/>
      <w:szCs w:val="21"/>
    </w:rPr>
  </w:style>
  <w:style w:type="paragraph" w:styleId="29">
    <w:name w:val="標題2內文"/>
    <w:basedOn w:val="Style26"/>
    <w:qFormat/>
    <w:pPr>
      <w:widowControl/>
      <w:tabs>
        <w:tab w:val="clear" w:pos="480"/>
        <w:tab w:val="left" w:pos="980" w:leader="none"/>
      </w:tabs>
      <w:suppressAutoHyphens w:val="true"/>
      <w:spacing w:lineRule="exact" w:line="480"/>
      <w:ind w:left="350" w:firstLine="200"/>
    </w:pPr>
    <w:rPr>
      <w:rFonts w:ascii="Book Antiqua" w:hAnsi="Book Antiqua" w:eastAsia="標楷體"/>
      <w:kern w:val="0"/>
      <w:sz w:val="28"/>
      <w:szCs w:val="21"/>
    </w:rPr>
  </w:style>
  <w:style w:type="paragraph" w:styleId="110">
    <w:name w:val="清單段落1"/>
    <w:basedOn w:val="Style26"/>
    <w:qFormat/>
    <w:pPr>
      <w:tabs>
        <w:tab w:val="clear" w:pos="480"/>
      </w:tabs>
      <w:suppressAutoHyphens w:val="true"/>
      <w:ind w:left="480" w:hanging="0"/>
    </w:pPr>
    <w:rPr>
      <w:rFonts w:ascii="Calibri" w:hAnsi="Calibri"/>
      <w:szCs w:val="22"/>
    </w:rPr>
  </w:style>
  <w:style w:type="paragraph" w:styleId="210">
    <w:name w:val="2"/>
    <w:basedOn w:val="Style26"/>
    <w:qFormat/>
    <w:pPr>
      <w:tabs>
        <w:tab w:val="clear" w:pos="480"/>
        <w:tab w:val="left" w:pos="7938" w:leader="dot"/>
      </w:tabs>
      <w:suppressAutoHyphens w:val="true"/>
      <w:spacing w:lineRule="atLeast" w:line="528"/>
      <w:jc w:val="both"/>
      <w:textAlignment w:val="baseline"/>
    </w:pPr>
    <w:rPr>
      <w:rFonts w:ascii="華康中楷體" w:hAnsi="華康中楷體" w:eastAsia="華康中楷體"/>
      <w:spacing w:val="20"/>
      <w:kern w:val="0"/>
      <w:sz w:val="28"/>
      <w:szCs w:val="20"/>
    </w:rPr>
  </w:style>
  <w:style w:type="paragraph" w:styleId="44">
    <w:name w:val="目錄 4"/>
    <w:basedOn w:val="Style26"/>
    <w:next w:val="Style26"/>
    <w:autoRedefine/>
    <w:qFormat/>
    <w:pPr>
      <w:tabs>
        <w:tab w:val="clear" w:pos="480"/>
      </w:tabs>
      <w:suppressAutoHyphens w:val="true"/>
      <w:ind w:left="720" w:hanging="0"/>
    </w:pPr>
    <w:rPr>
      <w:rFonts w:ascii="Calibri" w:hAnsi="Calibri" w:cs="Calibri"/>
      <w:sz w:val="18"/>
      <w:szCs w:val="18"/>
    </w:rPr>
  </w:style>
  <w:style w:type="paragraph" w:styleId="53">
    <w:name w:val="目錄 5"/>
    <w:basedOn w:val="Style26"/>
    <w:next w:val="Style26"/>
    <w:autoRedefine/>
    <w:qFormat/>
    <w:pPr>
      <w:tabs>
        <w:tab w:val="clear" w:pos="480"/>
      </w:tabs>
      <w:suppressAutoHyphens w:val="true"/>
      <w:ind w:left="960" w:hanging="0"/>
    </w:pPr>
    <w:rPr>
      <w:rFonts w:ascii="Calibri" w:hAnsi="Calibri" w:cs="Calibri"/>
      <w:sz w:val="18"/>
      <w:szCs w:val="18"/>
    </w:rPr>
  </w:style>
  <w:style w:type="paragraph" w:styleId="62">
    <w:name w:val="目錄 6"/>
    <w:basedOn w:val="Style26"/>
    <w:next w:val="Style26"/>
    <w:autoRedefine/>
    <w:qFormat/>
    <w:pPr>
      <w:tabs>
        <w:tab w:val="clear" w:pos="480"/>
      </w:tabs>
      <w:suppressAutoHyphens w:val="true"/>
      <w:ind w:left="1200" w:hanging="0"/>
    </w:pPr>
    <w:rPr>
      <w:rFonts w:ascii="Calibri" w:hAnsi="Calibri" w:cs="Calibri"/>
      <w:sz w:val="18"/>
      <w:szCs w:val="18"/>
    </w:rPr>
  </w:style>
  <w:style w:type="paragraph" w:styleId="72">
    <w:name w:val="目錄 7"/>
    <w:basedOn w:val="Style26"/>
    <w:next w:val="Style26"/>
    <w:autoRedefine/>
    <w:qFormat/>
    <w:pPr>
      <w:tabs>
        <w:tab w:val="clear" w:pos="480"/>
      </w:tabs>
      <w:suppressAutoHyphens w:val="true"/>
      <w:ind w:left="1440" w:hanging="0"/>
    </w:pPr>
    <w:rPr>
      <w:rFonts w:ascii="Calibri" w:hAnsi="Calibri" w:cs="Calibri"/>
      <w:sz w:val="18"/>
      <w:szCs w:val="18"/>
    </w:rPr>
  </w:style>
  <w:style w:type="paragraph" w:styleId="82">
    <w:name w:val="目錄 8"/>
    <w:basedOn w:val="Style26"/>
    <w:next w:val="Style26"/>
    <w:autoRedefine/>
    <w:qFormat/>
    <w:pPr>
      <w:tabs>
        <w:tab w:val="clear" w:pos="480"/>
      </w:tabs>
      <w:suppressAutoHyphens w:val="true"/>
      <w:ind w:left="1680" w:hanging="0"/>
    </w:pPr>
    <w:rPr>
      <w:rFonts w:ascii="Calibri" w:hAnsi="Calibri" w:cs="Calibri"/>
      <w:sz w:val="18"/>
      <w:szCs w:val="18"/>
    </w:rPr>
  </w:style>
  <w:style w:type="paragraph" w:styleId="92">
    <w:name w:val="目錄 9"/>
    <w:basedOn w:val="Style26"/>
    <w:next w:val="Style26"/>
    <w:autoRedefine/>
    <w:qFormat/>
    <w:pPr>
      <w:tabs>
        <w:tab w:val="clear" w:pos="480"/>
      </w:tabs>
      <w:suppressAutoHyphens w:val="true"/>
      <w:ind w:left="1920" w:hanging="0"/>
    </w:pPr>
    <w:rPr>
      <w:rFonts w:ascii="Calibri" w:hAnsi="Calibri" w:cs="Calibri"/>
      <w:sz w:val="18"/>
      <w:szCs w:val="18"/>
    </w:rPr>
  </w:style>
  <w:style w:type="paragraph" w:styleId="Style45">
    <w:name w:val="Body Text Indent"/>
    <w:basedOn w:val="Style26"/>
    <w:pPr>
      <w:tabs>
        <w:tab w:val="clear" w:pos="480"/>
      </w:tabs>
      <w:suppressAutoHyphens w:val="true"/>
      <w:ind w:left="480" w:hanging="0"/>
    </w:pPr>
    <w:rPr>
      <w:szCs w:val="20"/>
    </w:rPr>
  </w:style>
  <w:style w:type="paragraph" w:styleId="Style46">
    <w:name w:val="分項段落"/>
    <w:basedOn w:val="Style26"/>
    <w:qFormat/>
    <w:pPr>
      <w:numPr>
        <w:ilvl w:val="0"/>
        <w:numId w:val="4"/>
      </w:numPr>
      <w:suppressAutoHyphens w:val="true"/>
      <w:snapToGrid w:val="false"/>
      <w:spacing w:lineRule="auto" w:line="360"/>
      <w:jc w:val="both"/>
      <w:textAlignment w:val="baseline"/>
    </w:pPr>
    <w:rPr>
      <w:rFonts w:eastAsia="標楷體"/>
      <w:kern w:val="0"/>
      <w:sz w:val="36"/>
      <w:szCs w:val="20"/>
    </w:rPr>
  </w:style>
  <w:style w:type="paragraph" w:styleId="112">
    <w:name w:val="內文1.1"/>
    <w:qFormat/>
    <w:pPr>
      <w:keepNext w:val="false"/>
      <w:keepLines w:val="false"/>
      <w:pageBreakBefore w:val="false"/>
      <w:widowControl/>
      <w:pBdr/>
      <w:shd w:fill="auto" w:val="clear"/>
      <w:tabs>
        <w:tab w:val="clear" w:pos="480"/>
      </w:tabs>
      <w:suppressAutoHyphens w:val="true"/>
      <w:kinsoku w:val="true"/>
      <w:overflowPunct w:val="true"/>
      <w:autoSpaceDE w:val="true"/>
      <w:bidi w:val="0"/>
      <w:snapToGrid w:val="true"/>
      <w:spacing w:lineRule="exact" w:line="480"/>
      <w:ind w:left="150" w:firstLine="200"/>
      <w:jc w:val="both"/>
    </w:pPr>
    <w:rPr>
      <w:rFonts w:ascii="Arial" w:hAnsi="Arial" w:eastAsia="標楷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8"/>
      <w:sz w:val="28"/>
      <w:szCs w:val="20"/>
      <w:u w:val="none"/>
      <w:vertAlign w:val="baseline"/>
      <w:em w:val="none"/>
      <w:lang w:val="en-US" w:eastAsia="zh-TW" w:bidi="ar-SA"/>
    </w:rPr>
  </w:style>
  <w:style w:type="paragraph" w:styleId="Style47">
    <w:name w:val="一、內文"/>
    <w:next w:val="Style26"/>
    <w:qFormat/>
    <w:pPr>
      <w:keepNext w:val="false"/>
      <w:keepLines w:val="false"/>
      <w:pageBreakBefore w:val="false"/>
      <w:widowControl/>
      <w:pBdr/>
      <w:shd w:fill="auto" w:val="clear"/>
      <w:tabs>
        <w:tab w:val="clear" w:pos="480"/>
      </w:tabs>
      <w:suppressAutoHyphens w:val="true"/>
      <w:kinsoku w:val="true"/>
      <w:overflowPunct w:val="true"/>
      <w:autoSpaceDE w:val="true"/>
      <w:bidi w:val="0"/>
      <w:snapToGrid w:val="true"/>
      <w:spacing w:lineRule="exact" w:line="480"/>
      <w:ind w:left="400" w:firstLine="200"/>
      <w:jc w:val="both"/>
    </w:pPr>
    <w:rPr>
      <w:rFonts w:ascii="Arial" w:hAnsi="Arial" w:eastAsia="標楷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8"/>
      <w:sz w:val="28"/>
      <w:szCs w:val="20"/>
      <w:u w:val="none"/>
      <w:vertAlign w:val="baseline"/>
      <w:em w:val="none"/>
      <w:lang w:val="en-US" w:eastAsia="zh-TW" w:bidi="ar-SA"/>
    </w:rPr>
  </w:style>
  <w:style w:type="paragraph" w:styleId="113">
    <w:name w:val="11"/>
    <w:basedOn w:val="Style26"/>
    <w:qFormat/>
    <w:pPr>
      <w:widowControl/>
      <w:tabs>
        <w:tab w:val="clear" w:pos="480"/>
      </w:tabs>
      <w:suppressAutoHyphens w:val="true"/>
      <w:spacing w:lineRule="atLeast" w:line="480"/>
      <w:ind w:left="150" w:firstLine="200"/>
      <w:jc w:val="both"/>
    </w:pPr>
    <w:rPr>
      <w:rFonts w:ascii="Arial" w:hAnsi="Arial" w:cs="Arial"/>
      <w:kern w:val="0"/>
      <w:sz w:val="28"/>
      <w:szCs w:val="28"/>
    </w:rPr>
  </w:style>
  <w:style w:type="paragraph" w:styleId="212">
    <w:name w:val="內文縮排(標題2-1)"/>
    <w:basedOn w:val="Style26"/>
    <w:qFormat/>
    <w:pPr>
      <w:suppressAutoHyphens w:val="true"/>
      <w:overflowPunct w:val="false"/>
      <w:autoSpaceDE w:val="false"/>
      <w:snapToGrid w:val="false"/>
      <w:spacing w:lineRule="atLeast" w:line="431" w:before="240" w:after="120"/>
      <w:ind w:firstLine="200"/>
      <w:jc w:val="both"/>
      <w:textAlignment w:val="baseline"/>
    </w:pPr>
    <w:rPr>
      <w:kern w:val="0"/>
      <w:szCs w:val="20"/>
    </w:rPr>
  </w:style>
  <w:style w:type="paragraph" w:styleId="38">
    <w:name w:val="內文縮排(標題3)"/>
    <w:basedOn w:val="Style26"/>
    <w:qFormat/>
    <w:pPr>
      <w:tabs>
        <w:tab w:val="clear" w:pos="480"/>
      </w:tabs>
      <w:suppressAutoHyphens w:val="true"/>
      <w:overflowPunct w:val="false"/>
      <w:autoSpaceDE w:val="false"/>
      <w:snapToGrid w:val="false"/>
      <w:spacing w:lineRule="atLeast" w:line="431" w:before="240" w:after="120"/>
      <w:ind w:left="190" w:hanging="0"/>
      <w:jc w:val="both"/>
      <w:textAlignment w:val="baseline"/>
    </w:pPr>
    <w:rPr>
      <w:kern w:val="0"/>
      <w:szCs w:val="20"/>
    </w:rPr>
  </w:style>
  <w:style w:type="paragraph" w:styleId="Style48">
    <w:name w:val="圖標題"/>
    <w:basedOn w:val="Style26"/>
    <w:qFormat/>
    <w:pPr>
      <w:suppressAutoHyphens w:val="true"/>
      <w:overflowPunct w:val="false"/>
      <w:autoSpaceDE w:val="false"/>
      <w:snapToGrid w:val="false"/>
      <w:spacing w:lineRule="atLeast" w:line="431" w:before="120" w:after="120"/>
      <w:jc w:val="center"/>
      <w:textAlignment w:val="baseline"/>
    </w:pPr>
    <w:rPr>
      <w:kern w:val="0"/>
      <w:szCs w:val="20"/>
    </w:rPr>
  </w:style>
  <w:style w:type="paragraph" w:styleId="213">
    <w:name w:val="標題2-1"/>
    <w:basedOn w:val="2"/>
    <w:qFormat/>
    <w:pPr>
      <w:keepNext w:val="false"/>
      <w:numPr>
        <w:ilvl w:val="0"/>
        <w:numId w:val="0"/>
      </w:numPr>
      <w:tabs>
        <w:tab w:val="clear" w:pos="480"/>
      </w:tabs>
      <w:suppressAutoHyphens w:val="true"/>
      <w:overflowPunct w:val="false"/>
      <w:autoSpaceDE w:val="false"/>
      <w:snapToGrid w:val="false"/>
      <w:spacing w:lineRule="atLeast" w:line="431" w:before="360" w:after="120"/>
      <w:ind w:left="265" w:hanging="265"/>
      <w:jc w:val="left"/>
      <w:textAlignment w:val="baseline"/>
      <w:outlineLvl w:val="1"/>
    </w:pPr>
    <w:rPr>
      <w:rFonts w:ascii="Times New Roman" w:hAnsi="Times New Roman" w:eastAsia="華康粗黑體"/>
      <w:b w:val="false"/>
      <w:bCs w:val="false"/>
      <w:kern w:val="0"/>
      <w:sz w:val="24"/>
      <w:szCs w:val="24"/>
      <w:lang w:val="en-US" w:eastAsia="zh-TW"/>
    </w:rPr>
  </w:style>
  <w:style w:type="paragraph" w:styleId="Style49">
    <w:name w:val="表標題"/>
    <w:basedOn w:val="Style26"/>
    <w:qFormat/>
    <w:pPr>
      <w:suppressAutoHyphens w:val="true"/>
      <w:overflowPunct w:val="false"/>
      <w:autoSpaceDE w:val="false"/>
      <w:snapToGrid w:val="false"/>
      <w:spacing w:lineRule="atLeast" w:line="431" w:before="120" w:after="120"/>
      <w:jc w:val="both"/>
      <w:textAlignment w:val="baseline"/>
    </w:pPr>
    <w:rPr>
      <w:kern w:val="0"/>
      <w:szCs w:val="20"/>
    </w:rPr>
  </w:style>
  <w:style w:type="paragraph" w:styleId="Style50">
    <w:name w:val="字元"/>
    <w:basedOn w:val="Style26"/>
    <w:qFormat/>
    <w:pPr>
      <w:widowControl/>
      <w:suppressAutoHyphens w:val="true"/>
      <w:spacing w:lineRule="exact" w:line="240" w:before="0" w:after="160"/>
    </w:pPr>
    <w:rPr>
      <w:rFonts w:ascii="Verdana" w:hAnsi="Verdana"/>
      <w:kern w:val="0"/>
      <w:sz w:val="20"/>
      <w:szCs w:val="20"/>
      <w:lang w:eastAsia="en-US"/>
    </w:rPr>
  </w:style>
  <w:style w:type="paragraph" w:styleId="K02">
    <w:name w:val="k02"/>
    <w:basedOn w:val="Style26"/>
    <w:qFormat/>
    <w:pPr>
      <w:tabs>
        <w:tab w:val="clear" w:pos="480"/>
        <w:tab w:val="left" w:pos="960" w:leader="none"/>
        <w:tab w:val="left" w:pos="1920" w:leader="none"/>
        <w:tab w:val="left" w:pos="2880" w:leader="none"/>
        <w:tab w:val="left" w:pos="3840" w:leader="none"/>
        <w:tab w:val="left" w:pos="4800" w:leader="none"/>
        <w:tab w:val="left" w:pos="5760" w:leader="none"/>
      </w:tabs>
      <w:suppressAutoHyphens w:val="true"/>
      <w:overflowPunct w:val="false"/>
      <w:autoSpaceDE w:val="false"/>
      <w:snapToGrid w:val="false"/>
      <w:spacing w:lineRule="exact" w:line="450"/>
      <w:ind w:firstLine="567"/>
      <w:jc w:val="both"/>
      <w:textAlignment w:val="center"/>
    </w:pPr>
    <w:rPr>
      <w:rFonts w:eastAsia="標楷體"/>
      <w:kern w:val="0"/>
      <w:sz w:val="28"/>
      <w:szCs w:val="20"/>
    </w:rPr>
  </w:style>
  <w:style w:type="paragraph" w:styleId="Style51">
    <w:name w:val="項"/>
    <w:basedOn w:val="Style26"/>
    <w:qFormat/>
    <w:pPr>
      <w:tabs>
        <w:tab w:val="clear" w:pos="480"/>
      </w:tabs>
      <w:suppressAutoHyphens w:val="true"/>
      <w:overflowPunct w:val="false"/>
      <w:ind w:left="100" w:firstLine="200"/>
      <w:jc w:val="both"/>
    </w:pPr>
    <w:rPr>
      <w:rFonts w:ascii="標楷體" w:hAnsi="標楷體" w:eastAsia="標楷體"/>
    </w:rPr>
  </w:style>
  <w:style w:type="paragraph" w:styleId="HTML">
    <w:name w:val="HTML 預設格式"/>
    <w:basedOn w:val="Style26"/>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cs="細明體"/>
      <w:color w:val="333333"/>
      <w:kern w:val="0"/>
    </w:rPr>
  </w:style>
  <w:style w:type="paragraph" w:styleId="Style52">
    <w:name w:val="說明條列"/>
    <w:basedOn w:val="Style26"/>
    <w:qFormat/>
    <w:pPr>
      <w:widowControl/>
      <w:numPr>
        <w:ilvl w:val="0"/>
        <w:numId w:val="5"/>
      </w:numPr>
      <w:suppressAutoHyphens w:val="true"/>
      <w:snapToGrid w:val="false"/>
    </w:pPr>
    <w:rPr>
      <w:rFonts w:eastAsia="標楷體"/>
      <w:kern w:val="0"/>
      <w:sz w:val="32"/>
      <w:szCs w:val="32"/>
    </w:rPr>
  </w:style>
  <w:style w:type="paragraph" w:styleId="Style53">
    <w:name w:val="公告事項條列"/>
    <w:basedOn w:val="Style26"/>
    <w:qFormat/>
    <w:pPr>
      <w:numPr>
        <w:ilvl w:val="0"/>
        <w:numId w:val="6"/>
      </w:numPr>
      <w:suppressAutoHyphens w:val="true"/>
      <w:snapToGrid w:val="false"/>
    </w:pPr>
    <w:rPr>
      <w:rFonts w:eastAsia="標楷體"/>
      <w:sz w:val="32"/>
      <w:szCs w:val="32"/>
    </w:rPr>
  </w:style>
  <w:style w:type="paragraph" w:styleId="Style54">
    <w:name w:val="文件引導模式"/>
    <w:basedOn w:val="Style26"/>
    <w:qFormat/>
    <w:pPr>
      <w:shd w:fill="000080" w:val="clear"/>
      <w:suppressAutoHyphens w:val="true"/>
    </w:pPr>
    <w:rPr>
      <w:rFonts w:ascii="Arial" w:hAnsi="Arial"/>
    </w:rPr>
  </w:style>
  <w:style w:type="paragraph" w:styleId="Style55">
    <w:name w:val="問候"/>
    <w:basedOn w:val="Style26"/>
    <w:next w:val="Style26"/>
    <w:qFormat/>
    <w:pPr>
      <w:suppressAutoHyphens w:val="true"/>
    </w:pPr>
    <w:rPr>
      <w:rFonts w:ascii="標楷體" w:hAnsi="標楷體" w:eastAsia="標楷體"/>
      <w:bCs/>
      <w:color w:val="FF0000"/>
      <w:sz w:val="32"/>
      <w:szCs w:val="32"/>
      <w:u w:val="single"/>
    </w:rPr>
  </w:style>
  <w:style w:type="paragraph" w:styleId="Style56">
    <w:name w:val="結語"/>
    <w:basedOn w:val="Style26"/>
    <w:qFormat/>
    <w:pPr>
      <w:tabs>
        <w:tab w:val="clear" w:pos="480"/>
      </w:tabs>
      <w:suppressAutoHyphens w:val="true"/>
      <w:ind w:left="100" w:hanging="0"/>
    </w:pPr>
    <w:rPr>
      <w:rFonts w:ascii="標楷體" w:hAnsi="標楷體" w:eastAsia="標楷體"/>
      <w:bCs/>
      <w:color w:val="FF0000"/>
      <w:sz w:val="32"/>
      <w:szCs w:val="32"/>
      <w:u w:val="single"/>
    </w:rPr>
  </w:style>
  <w:style w:type="paragraph" w:styleId="214">
    <w:name w:val="標題2文"/>
    <w:basedOn w:val="Style26"/>
    <w:qFormat/>
    <w:pPr>
      <w:suppressAutoHyphens w:val="true"/>
      <w:snapToGrid w:val="false"/>
      <w:spacing w:lineRule="exact" w:line="440" w:before="40" w:after="40"/>
      <w:ind w:firstLine="516"/>
      <w:jc w:val="both"/>
    </w:pPr>
    <w:rPr>
      <w:rFonts w:eastAsia="標楷體"/>
      <w:sz w:val="26"/>
      <w:szCs w:val="20"/>
    </w:rPr>
  </w:style>
  <w:style w:type="paragraph" w:styleId="Style57">
    <w:name w:val="７２９－１"/>
    <w:basedOn w:val="Style26"/>
    <w:qFormat/>
    <w:pPr>
      <w:tabs>
        <w:tab w:val="clear" w:pos="480"/>
      </w:tabs>
      <w:suppressAutoHyphens w:val="true"/>
      <w:autoSpaceDE w:val="false"/>
      <w:ind w:left="244" w:hanging="244"/>
      <w:jc w:val="both"/>
    </w:pPr>
    <w:rPr>
      <w:rFonts w:eastAsia="標楷體"/>
      <w:color w:val="000000"/>
      <w:sz w:val="28"/>
      <w:szCs w:val="20"/>
    </w:rPr>
  </w:style>
  <w:style w:type="paragraph" w:styleId="IOT2">
    <w:name w:val="IOT內文"/>
    <w:basedOn w:val="Style26"/>
    <w:qFormat/>
    <w:pPr>
      <w:suppressAutoHyphens w:val="true"/>
      <w:snapToGrid w:val="false"/>
      <w:spacing w:lineRule="auto" w:line="360"/>
      <w:ind w:firstLine="510"/>
      <w:jc w:val="both"/>
    </w:pPr>
    <w:rPr>
      <w:rFonts w:eastAsia="標楷體"/>
      <w:kern w:val="0"/>
    </w:rPr>
  </w:style>
  <w:style w:type="paragraph" w:styleId="114">
    <w:name w:val="內文1"/>
    <w:basedOn w:val="Style26"/>
    <w:qFormat/>
    <w:pPr>
      <w:tabs>
        <w:tab w:val="clear" w:pos="480"/>
      </w:tabs>
      <w:suppressAutoHyphens w:val="true"/>
      <w:spacing w:lineRule="auto" w:line="300" w:before="0" w:after="25"/>
      <w:ind w:left="560" w:hanging="0"/>
      <w:jc w:val="both"/>
    </w:pPr>
    <w:rPr>
      <w:rFonts w:eastAsia="標楷體"/>
      <w:sz w:val="28"/>
    </w:rPr>
  </w:style>
  <w:style w:type="paragraph" w:styleId="Style58">
    <w:name w:val="發文日期"/>
    <w:basedOn w:val="Style26"/>
    <w:qFormat/>
    <w:pPr>
      <w:suppressAutoHyphens w:val="true"/>
      <w:snapToGrid w:val="false"/>
    </w:pPr>
    <w:rPr>
      <w:rFonts w:ascii="標楷體" w:hAnsi="標楷體" w:eastAsia="標楷體" w:cs="標楷體"/>
    </w:rPr>
  </w:style>
  <w:style w:type="paragraph" w:styleId="Style59">
    <w:name w:val="發文字號"/>
    <w:basedOn w:val="Style26"/>
    <w:qFormat/>
    <w:pPr>
      <w:suppressAutoHyphens w:val="true"/>
      <w:snapToGrid w:val="false"/>
    </w:pPr>
    <w:rPr>
      <w:rFonts w:ascii="標楷體" w:hAnsi="標楷體" w:eastAsia="標楷體" w:cs="標楷體"/>
    </w:rPr>
  </w:style>
  <w:style w:type="paragraph" w:styleId="Titile">
    <w:name w:val="titile"/>
    <w:basedOn w:val="Style26"/>
    <w:qFormat/>
    <w:pPr>
      <w:suppressAutoHyphens w:val="true"/>
      <w:jc w:val="both"/>
    </w:pPr>
    <w:rPr>
      <w:rFonts w:ascii="標楷體" w:hAnsi="標楷體" w:eastAsia="標楷體"/>
      <w:b/>
      <w:sz w:val="48"/>
      <w:szCs w:val="48"/>
    </w:rPr>
  </w:style>
  <w:style w:type="paragraph" w:styleId="115">
    <w:name w:val="１--(1)"/>
    <w:basedOn w:val="Style26"/>
    <w:qFormat/>
    <w:pPr>
      <w:tabs>
        <w:tab w:val="clear" w:pos="480"/>
      </w:tabs>
      <w:suppressAutoHyphens w:val="true"/>
      <w:overflowPunct w:val="false"/>
      <w:spacing w:lineRule="exact" w:line="364"/>
      <w:ind w:left="589" w:hanging="154"/>
      <w:jc w:val="both"/>
    </w:pPr>
    <w:rPr>
      <w:rFonts w:eastAsia="華康中明體"/>
      <w:spacing w:val="8"/>
      <w:sz w:val="21"/>
      <w:szCs w:val="21"/>
    </w:rPr>
  </w:style>
  <w:style w:type="paragraph" w:styleId="116">
    <w:name w:val="１--1."/>
    <w:basedOn w:val="Style26"/>
    <w:qFormat/>
    <w:pPr>
      <w:tabs>
        <w:tab w:val="clear" w:pos="480"/>
      </w:tabs>
      <w:suppressAutoHyphens w:val="true"/>
      <w:overflowPunct w:val="false"/>
      <w:spacing w:lineRule="exact" w:line="364"/>
      <w:ind w:left="497" w:hanging="78"/>
      <w:jc w:val="both"/>
    </w:pPr>
    <w:rPr>
      <w:rFonts w:eastAsia="華康中明體"/>
      <w:spacing w:val="8"/>
      <w:sz w:val="21"/>
      <w:szCs w:val="21"/>
    </w:rPr>
  </w:style>
  <w:style w:type="paragraph" w:styleId="Style60">
    <w:name w:val="節"/>
    <w:basedOn w:val="Style26"/>
    <w:qFormat/>
    <w:pPr>
      <w:suppressAutoHyphens w:val="true"/>
      <w:spacing w:lineRule="exact" w:line="440" w:before="0" w:after="120"/>
      <w:jc w:val="center"/>
    </w:pPr>
    <w:rPr>
      <w:rFonts w:ascii="標楷體" w:hAnsi="標楷體" w:eastAsia="標楷體"/>
      <w:b/>
      <w:color w:val="000000"/>
      <w:sz w:val="32"/>
      <w:szCs w:val="32"/>
    </w:rPr>
  </w:style>
  <w:style w:type="paragraph" w:styleId="Style61">
    <w:name w:val="目錄"/>
    <w:basedOn w:val="Style26"/>
    <w:autoRedefine/>
    <w:qFormat/>
    <w:pPr>
      <w:tabs>
        <w:tab w:val="clear" w:pos="480"/>
      </w:tabs>
      <w:suppressAutoHyphens w:val="true"/>
      <w:spacing w:lineRule="exact" w:line="400"/>
      <w:ind w:left="240" w:hanging="240"/>
      <w:jc w:val="center"/>
    </w:pPr>
    <w:rPr>
      <w:rFonts w:ascii="標楷體" w:hAnsi="標楷體" w:eastAsia="標楷體"/>
      <w:b/>
      <w:bCs/>
      <w:color w:val="000000"/>
      <w:szCs w:val="20"/>
    </w:rPr>
  </w:style>
  <w:style w:type="paragraph" w:styleId="Style62">
    <w:name w:val="日期"/>
    <w:basedOn w:val="Style26"/>
    <w:next w:val="Style26"/>
    <w:qFormat/>
    <w:pPr>
      <w:suppressAutoHyphens w:val="true"/>
      <w:jc w:val="right"/>
    </w:pPr>
    <w:rPr/>
  </w:style>
  <w:style w:type="paragraph" w:styleId="Style63">
    <w:name w:val="詳_一本文"/>
    <w:basedOn w:val="Style26"/>
    <w:qFormat/>
    <w:pPr>
      <w:tabs>
        <w:tab w:val="clear" w:pos="480"/>
      </w:tabs>
      <w:suppressAutoHyphens w:val="true"/>
      <w:snapToGrid w:val="false"/>
      <w:ind w:left="675" w:firstLine="627"/>
      <w:jc w:val="both"/>
    </w:pPr>
    <w:rPr>
      <w:rFonts w:eastAsia="標楷體"/>
      <w:color w:val="000000"/>
      <w:sz w:val="32"/>
    </w:rPr>
  </w:style>
  <w:style w:type="paragraph" w:styleId="Style64">
    <w:name w:val="詳_一"/>
    <w:basedOn w:val="Style26"/>
    <w:qFormat/>
    <w:pPr>
      <w:tabs>
        <w:tab w:val="clear" w:pos="480"/>
        <w:tab w:val="left" w:pos="0" w:leader="none"/>
      </w:tabs>
      <w:suppressAutoHyphens w:val="true"/>
      <w:snapToGrid w:val="false"/>
      <w:ind w:left="680" w:hanging="680"/>
      <w:jc w:val="both"/>
    </w:pPr>
    <w:rPr>
      <w:rFonts w:eastAsia="標楷體"/>
      <w:color w:val="000000"/>
      <w:sz w:val="32"/>
    </w:rPr>
  </w:style>
  <w:style w:type="paragraph" w:styleId="Style65">
    <w:name w:val="詳_(一"/>
    <w:basedOn w:val="Style26"/>
    <w:qFormat/>
    <w:pPr>
      <w:tabs>
        <w:tab w:val="clear" w:pos="480"/>
        <w:tab w:val="left" w:pos="680" w:leader="none"/>
      </w:tabs>
      <w:suppressAutoHyphens w:val="true"/>
      <w:snapToGrid w:val="false"/>
      <w:spacing w:before="0" w:after="50"/>
      <w:ind w:left="1021" w:hanging="567"/>
      <w:jc w:val="both"/>
    </w:pPr>
    <w:rPr>
      <w:rFonts w:eastAsia="標楷體"/>
      <w:color w:val="000000"/>
      <w:sz w:val="32"/>
    </w:rPr>
  </w:style>
  <w:style w:type="paragraph" w:styleId="117">
    <w:name w:val="詳_1"/>
    <w:basedOn w:val="Style26"/>
    <w:qFormat/>
    <w:pPr>
      <w:tabs>
        <w:tab w:val="clear" w:pos="480"/>
        <w:tab w:val="left" w:pos="1304" w:leader="none"/>
      </w:tabs>
      <w:suppressAutoHyphens w:val="true"/>
      <w:snapToGrid w:val="false"/>
      <w:spacing w:before="0" w:after="50"/>
      <w:ind w:left="1304" w:hanging="680"/>
      <w:jc w:val="both"/>
    </w:pPr>
    <w:rPr>
      <w:rFonts w:eastAsia="標楷體"/>
      <w:color w:val="000000"/>
      <w:sz w:val="32"/>
    </w:rPr>
  </w:style>
  <w:style w:type="paragraph" w:styleId="118">
    <w:name w:val="詳_(1"/>
    <w:basedOn w:val="Style26"/>
    <w:qFormat/>
    <w:pPr>
      <w:numPr>
        <w:ilvl w:val="0"/>
        <w:numId w:val="7"/>
      </w:numPr>
      <w:suppressAutoHyphens w:val="true"/>
      <w:snapToGrid w:val="false"/>
      <w:spacing w:before="0" w:after="50"/>
      <w:jc w:val="both"/>
    </w:pPr>
    <w:rPr>
      <w:rFonts w:eastAsia="標楷體"/>
      <w:color w:val="000000"/>
      <w:sz w:val="32"/>
    </w:rPr>
  </w:style>
  <w:style w:type="paragraph" w:styleId="Style66">
    <w:name w:val="詳_甲"/>
    <w:basedOn w:val="Style26"/>
    <w:qFormat/>
    <w:pPr>
      <w:numPr>
        <w:ilvl w:val="0"/>
        <w:numId w:val="7"/>
      </w:numPr>
      <w:suppressAutoHyphens w:val="true"/>
      <w:snapToGrid w:val="false"/>
      <w:spacing w:before="0" w:after="50"/>
      <w:jc w:val="both"/>
    </w:pPr>
    <w:rPr>
      <w:rFonts w:eastAsia="標楷體"/>
      <w:color w:val="000000"/>
      <w:sz w:val="32"/>
    </w:rPr>
  </w:style>
  <w:style w:type="paragraph" w:styleId="Style67">
    <w:name w:val="壹"/>
    <w:basedOn w:val="Style26"/>
    <w:qFormat/>
    <w:pPr>
      <w:suppressAutoHyphens w:val="true"/>
      <w:snapToGrid w:val="false"/>
      <w:spacing w:lineRule="auto" w:line="360"/>
      <w:jc w:val="both"/>
    </w:pPr>
    <w:rPr>
      <w:rFonts w:ascii="華康楷書體W5" w:hAnsi="華康楷書體W5" w:eastAsia="華康楷書體W5"/>
      <w:sz w:val="32"/>
      <w:szCs w:val="20"/>
    </w:rPr>
  </w:style>
  <w:style w:type="paragraph" w:styleId="Style68">
    <w:name w:val="區塊文字"/>
    <w:basedOn w:val="Style26"/>
    <w:qFormat/>
    <w:pPr>
      <w:tabs>
        <w:tab w:val="clear" w:pos="480"/>
      </w:tabs>
      <w:suppressAutoHyphens w:val="true"/>
      <w:snapToGrid w:val="false"/>
      <w:ind w:left="60" w:right="60" w:hanging="0"/>
      <w:jc w:val="left"/>
    </w:pPr>
    <w:rPr>
      <w:rFonts w:eastAsia="富漢通中圓體"/>
      <w:sz w:val="16"/>
      <w:szCs w:val="20"/>
    </w:rPr>
  </w:style>
  <w:style w:type="paragraph" w:styleId="Xl22">
    <w:name w:val="xl22"/>
    <w:basedOn w:val="Style26"/>
    <w:qFormat/>
    <w:pPr>
      <w:widowControl/>
      <w:pBdr>
        <w:bottom w:val="single" w:sz="4" w:space="0" w:color="000000"/>
        <w:right w:val="single" w:sz="4" w:space="0" w:color="000000"/>
      </w:pBdr>
      <w:suppressAutoHyphens w:val="true"/>
      <w:spacing w:before="100" w:after="100"/>
      <w:jc w:val="both"/>
    </w:pPr>
    <w:rPr>
      <w:rFonts w:ascii="標楷體" w:hAnsi="標楷體" w:eastAsia="標楷體" w:cs="Arial Unicode MS"/>
      <w:kern w:val="0"/>
    </w:rPr>
  </w:style>
  <w:style w:type="paragraph" w:styleId="Style69">
    <w:name w:val="大項"/>
    <w:basedOn w:val="Style26"/>
    <w:qFormat/>
    <w:pPr>
      <w:tabs>
        <w:tab w:val="clear" w:pos="480"/>
      </w:tabs>
      <w:suppressAutoHyphens w:val="true"/>
      <w:spacing w:lineRule="atLeast" w:line="440"/>
      <w:ind w:left="1260" w:hanging="644"/>
      <w:textAlignment w:val="baseline"/>
    </w:pPr>
    <w:rPr>
      <w:rFonts w:ascii="標楷體" w:hAnsi="標楷體" w:eastAsia="標楷體"/>
      <w:kern w:val="0"/>
      <w:sz w:val="32"/>
      <w:szCs w:val="20"/>
    </w:rPr>
  </w:style>
  <w:style w:type="paragraph" w:styleId="119">
    <w:name w:val="純文字1"/>
    <w:basedOn w:val="Style26"/>
    <w:qFormat/>
    <w:pPr>
      <w:suppressAutoHyphens w:val="true"/>
      <w:autoSpaceDE w:val="false"/>
      <w:textAlignment w:val="baseline"/>
    </w:pPr>
    <w:rPr>
      <w:rFonts w:ascii="細明體" w:hAnsi="細明體" w:eastAsia="細明體"/>
      <w:sz w:val="28"/>
      <w:szCs w:val="20"/>
    </w:rPr>
  </w:style>
  <w:style w:type="paragraph" w:styleId="Style70">
    <w:name w:val="一"/>
    <w:qFormat/>
    <w:pPr>
      <w:keepNext w:val="false"/>
      <w:keepLines w:val="false"/>
      <w:pageBreakBefore w:val="false"/>
      <w:widowControl w:val="false"/>
      <w:pBdr/>
      <w:shd w:fill="auto" w:val="clear"/>
      <w:tabs>
        <w:tab w:val="clear" w:pos="480"/>
      </w:tabs>
      <w:suppressAutoHyphens w:val="true"/>
      <w:kinsoku w:val="true"/>
      <w:overflowPunct w:val="false"/>
      <w:autoSpaceDE w:val="false"/>
      <w:bidi w:val="0"/>
      <w:snapToGrid w:val="false"/>
      <w:spacing w:lineRule="exact" w:line="560"/>
      <w:ind w:left="500" w:hanging="100"/>
      <w:jc w:val="both"/>
    </w:pPr>
    <w:rPr>
      <w:rFonts w:ascii="標楷體" w:hAnsi="標楷體" w:eastAsia="標楷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32"/>
      <w:sz w:val="32"/>
      <w:szCs w:val="20"/>
      <w:u w:val="none"/>
      <w:vertAlign w:val="baseline"/>
      <w:em w:val="none"/>
      <w:lang w:val="en-US" w:eastAsia="zh-TW" w:bidi="ar-SA"/>
    </w:rPr>
  </w:style>
  <w:style w:type="paragraph" w:styleId="Style71">
    <w:name w:val="公文(後續段落_段落)"/>
    <w:basedOn w:val="Style26"/>
    <w:qFormat/>
    <w:pPr>
      <w:widowControl/>
      <w:suppressAutoHyphens w:val="true"/>
      <w:spacing w:lineRule="exact" w:line="500"/>
      <w:textAlignment w:val="baseline"/>
    </w:pPr>
    <w:rPr>
      <w:rFonts w:eastAsia="標楷體"/>
      <w:kern w:val="0"/>
      <w:sz w:val="32"/>
      <w:szCs w:val="20"/>
      <w:lang w:bidi="he-IL"/>
    </w:rPr>
  </w:style>
  <w:style w:type="paragraph" w:styleId="Style72">
    <w:name w:val="第一層"/>
    <w:qFormat/>
    <w:pPr>
      <w:keepNext w:val="false"/>
      <w:keepLines w:val="false"/>
      <w:pageBreakBefore w:val="false"/>
      <w:widowControl/>
      <w:pBdr/>
      <w:shd w:fill="auto" w:val="clear"/>
      <w:tabs>
        <w:tab w:val="clear" w:pos="480"/>
      </w:tabs>
      <w:suppressAutoHyphens w:val="true"/>
      <w:kinsoku w:val="true"/>
      <w:overflowPunct w:val="true"/>
      <w:autoSpaceDE w:val="true"/>
      <w:bidi w:val="0"/>
      <w:snapToGrid w:val="true"/>
      <w:spacing w:lineRule="exact" w:line="600"/>
      <w:ind w:left="992" w:hanging="680"/>
      <w:jc w:val="both"/>
    </w:pPr>
    <w:rPr>
      <w:rFonts w:eastAsia="標楷體" w:ascii="Times New Roman" w:hAnsi="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32"/>
      <w:sz w:val="32"/>
      <w:szCs w:val="20"/>
      <w:u w:val="none"/>
      <w:vertAlign w:val="baseline"/>
      <w:em w:val="none"/>
      <w:lang w:val="en-US" w:eastAsia="zh-TW" w:bidi="ar-SA"/>
    </w:rPr>
  </w:style>
  <w:style w:type="paragraph" w:styleId="Style73">
    <w:name w:val="條"/>
    <w:basedOn w:val="Style26"/>
    <w:qFormat/>
    <w:pPr>
      <w:tabs>
        <w:tab w:val="clear" w:pos="480"/>
      </w:tabs>
      <w:suppressAutoHyphens w:val="true"/>
      <w:overflowPunct w:val="false"/>
      <w:autoSpaceDE w:val="false"/>
      <w:spacing w:lineRule="exact" w:line="250"/>
      <w:ind w:left="1123" w:hanging="1123"/>
      <w:jc w:val="both"/>
    </w:pPr>
    <w:rPr>
      <w:rFonts w:ascii="細明體" w:hAnsi="細明體" w:eastAsia="細明體"/>
      <w:spacing w:val="2"/>
      <w:w w:val="110"/>
      <w:sz w:val="20"/>
    </w:rPr>
  </w:style>
  <w:style w:type="paragraph" w:styleId="Style74">
    <w:name w:val="註釋標題"/>
    <w:basedOn w:val="Style26"/>
    <w:next w:val="Style26"/>
    <w:qFormat/>
    <w:pPr>
      <w:suppressAutoHyphens w:val="true"/>
      <w:jc w:val="center"/>
    </w:pPr>
    <w:rPr/>
  </w:style>
  <w:style w:type="paragraph" w:styleId="Style75">
    <w:name w:val="字元 字元 字元 字元 字元 字元"/>
    <w:basedOn w:val="Style26"/>
    <w:qFormat/>
    <w:pPr>
      <w:widowControl/>
      <w:suppressAutoHyphens w:val="true"/>
      <w:spacing w:lineRule="exact" w:line="240" w:before="0" w:after="160"/>
    </w:pPr>
    <w:rPr>
      <w:rFonts w:ascii="Tahoma" w:hAnsi="Tahoma"/>
      <w:kern w:val="0"/>
      <w:sz w:val="20"/>
      <w:szCs w:val="20"/>
      <w:lang w:eastAsia="en-US"/>
    </w:rPr>
  </w:style>
  <w:style w:type="paragraph" w:styleId="120">
    <w:name w:val="字元 字元1 字元 字元 字元 字元 字元 字元 字元 字元 字元"/>
    <w:basedOn w:val="Style26"/>
    <w:qFormat/>
    <w:pPr>
      <w:widowControl/>
      <w:suppressAutoHyphens w:val="true"/>
      <w:spacing w:lineRule="exact" w:line="240" w:before="0" w:after="160"/>
    </w:pPr>
    <w:rPr>
      <w:rFonts w:ascii="Tahoma" w:hAnsi="Tahoma" w:cs="Tahoma"/>
      <w:kern w:val="0"/>
      <w:sz w:val="20"/>
      <w:szCs w:val="20"/>
      <w:lang w:eastAsia="en-US"/>
    </w:rPr>
  </w:style>
  <w:style w:type="paragraph" w:styleId="Style76">
    <w:name w:val="字元 字元 字元"/>
    <w:basedOn w:val="Style26"/>
    <w:qFormat/>
    <w:pPr>
      <w:widowControl/>
      <w:suppressAutoHyphens w:val="true"/>
      <w:spacing w:lineRule="exact" w:line="240" w:before="0" w:after="160"/>
    </w:pPr>
    <w:rPr>
      <w:rFonts w:ascii="Verdana" w:hAnsi="Verdana"/>
      <w:kern w:val="0"/>
      <w:sz w:val="20"/>
      <w:szCs w:val="20"/>
      <w:lang w:eastAsia="en-US"/>
    </w:rPr>
  </w:style>
  <w:style w:type="paragraph" w:styleId="6A">
    <w:name w:val="項目6(A.)"/>
    <w:basedOn w:val="Style26"/>
    <w:qFormat/>
    <w:pPr>
      <w:widowControl/>
      <w:tabs>
        <w:tab w:val="clear" w:pos="480"/>
      </w:tabs>
      <w:suppressAutoHyphens w:val="true"/>
      <w:spacing w:lineRule="exact" w:line="480"/>
      <w:ind w:left="450" w:hanging="100"/>
    </w:pPr>
    <w:rPr>
      <w:rFonts w:eastAsia="標楷體"/>
      <w:sz w:val="28"/>
      <w:szCs w:val="20"/>
    </w:rPr>
  </w:style>
  <w:style w:type="paragraph" w:styleId="24k">
    <w:name w:val="24-k"/>
    <w:basedOn w:val="Style26"/>
    <w:qFormat/>
    <w:pPr>
      <w:widowControl/>
      <w:suppressAutoHyphens w:val="true"/>
      <w:spacing w:before="100" w:after="100"/>
    </w:pPr>
    <w:rPr>
      <w:rFonts w:ascii="新細明體" w:hAnsi="新細明體"/>
      <w:kern w:val="0"/>
    </w:rPr>
  </w:style>
  <w:style w:type="paragraph" w:styleId="Style77">
    <w:name w:val="註腳文字"/>
    <w:basedOn w:val="Style26"/>
    <w:qFormat/>
    <w:pPr>
      <w:suppressAutoHyphens w:val="true"/>
      <w:snapToGrid w:val="false"/>
    </w:pPr>
    <w:rPr>
      <w:sz w:val="20"/>
      <w:szCs w:val="20"/>
    </w:rPr>
  </w:style>
  <w:style w:type="paragraph" w:styleId="Style78">
    <w:name w:val="標題(一)"/>
    <w:basedOn w:val="Style26"/>
    <w:qFormat/>
    <w:pPr>
      <w:tabs>
        <w:tab w:val="clear" w:pos="480"/>
      </w:tabs>
      <w:suppressAutoHyphens w:val="true"/>
      <w:spacing w:lineRule="exact" w:line="440"/>
      <w:ind w:left="1438" w:hanging="896"/>
      <w:jc w:val="both"/>
    </w:pPr>
    <w:rPr>
      <w:rFonts w:ascii="標楷體" w:hAnsi="標楷體" w:eastAsia="標楷體"/>
      <w:sz w:val="32"/>
    </w:rPr>
  </w:style>
  <w:style w:type="paragraph" w:styleId="Style79">
    <w:name w:val="主旨"/>
    <w:basedOn w:val="Style26"/>
    <w:qFormat/>
    <w:pPr>
      <w:numPr>
        <w:ilvl w:val="0"/>
        <w:numId w:val="8"/>
      </w:numPr>
      <w:tabs>
        <w:tab w:val="clear" w:pos="480"/>
      </w:tabs>
      <w:suppressAutoHyphens w:val="true"/>
      <w:kinsoku w:val="false"/>
      <w:snapToGrid w:val="false"/>
      <w:spacing w:lineRule="exact" w:line="560"/>
      <w:ind w:left="953" w:hanging="0"/>
      <w:jc w:val="both"/>
      <w:textAlignment w:val="baseline"/>
    </w:pPr>
    <w:rPr>
      <w:rFonts w:ascii="標楷體" w:hAnsi="標楷體" w:eastAsia="標楷體"/>
      <w:kern w:val="0"/>
      <w:sz w:val="34"/>
      <w:szCs w:val="20"/>
    </w:rPr>
  </w:style>
  <w:style w:type="paragraph" w:styleId="121">
    <w:name w:val="目錄標題1"/>
    <w:basedOn w:val="1"/>
    <w:next w:val="Style26"/>
    <w:qFormat/>
    <w:pPr>
      <w:keepLines/>
      <w:widowControl/>
      <w:numPr>
        <w:ilvl w:val="0"/>
        <w:numId w:val="0"/>
      </w:numPr>
      <w:suppressAutoHyphens w:val="true"/>
      <w:spacing w:lineRule="auto" w:line="276" w:before="480" w:after="0"/>
    </w:pPr>
    <w:rPr>
      <w:rFonts w:ascii="Cambria" w:hAnsi="Cambria" w:eastAsia="新細明體"/>
      <w:b/>
      <w:bCs/>
      <w:color w:val="365F91"/>
      <w:kern w:val="0"/>
      <w:szCs w:val="28"/>
    </w:rPr>
  </w:style>
  <w:style w:type="paragraph" w:styleId="ListParagraph1">
    <w:name w:val="List Paragraph1"/>
    <w:basedOn w:val="Style26"/>
    <w:qFormat/>
    <w:pPr>
      <w:tabs>
        <w:tab w:val="clear" w:pos="480"/>
      </w:tabs>
      <w:suppressAutoHyphens w:val="true"/>
      <w:ind w:left="480" w:hanging="0"/>
    </w:pPr>
    <w:rPr>
      <w:rFonts w:ascii="Calibri" w:hAnsi="Calibri"/>
      <w:szCs w:val="22"/>
    </w:rPr>
  </w:style>
  <w:style w:type="paragraph" w:styleId="Normal1">
    <w:name w:val="Normal1"/>
    <w:basedOn w:val="Style26"/>
    <w:qFormat/>
    <w:pPr>
      <w:suppressAutoHyphens w:val="true"/>
      <w:textAlignment w:val="baseline"/>
    </w:pPr>
    <w:rPr>
      <w:spacing w:val="4"/>
      <w:kern w:val="0"/>
      <w:szCs w:val="20"/>
    </w:rPr>
  </w:style>
  <w:style w:type="paragraph" w:styleId="PlainText1">
    <w:name w:val="Plain Text1"/>
    <w:basedOn w:val="Style26"/>
    <w:qFormat/>
    <w:pPr>
      <w:suppressAutoHyphens w:val="true"/>
      <w:autoSpaceDE w:val="false"/>
      <w:textAlignment w:val="baseline"/>
    </w:pPr>
    <w:rPr>
      <w:rFonts w:ascii="細明體" w:hAnsi="細明體" w:eastAsia="細明體"/>
      <w:sz w:val="28"/>
      <w:szCs w:val="20"/>
    </w:rPr>
  </w:style>
  <w:style w:type="paragraph" w:styleId="Style80">
    <w:name w:val="外框內容"/>
    <w:basedOn w:val="Normal"/>
    <w:qFormat/>
    <w:pPr/>
    <w:rPr/>
  </w:style>
  <w:style w:type="paragraph" w:styleId="Style81">
    <w:name w:val="表格內容"/>
    <w:basedOn w:val="Normal"/>
    <w:qFormat/>
    <w:pPr>
      <w:suppressLineNumbers/>
    </w:pPr>
    <w:rPr/>
  </w:style>
  <w:style w:type="numbering" w:styleId="LFO1">
    <w:name w:val="LFO1"/>
    <w:qFormat/>
  </w:style>
  <w:style w:type="numbering" w:styleId="LFO2">
    <w:name w:val="LFO2"/>
    <w:qFormat/>
  </w:style>
  <w:style w:type="numbering" w:styleId="LFO3">
    <w:name w:val="LFO3"/>
    <w:qFormat/>
  </w:style>
  <w:style w:type="numbering" w:styleId="LFO4">
    <w:name w:val="LFO4"/>
    <w:qFormat/>
  </w:style>
  <w:style w:type="numbering" w:styleId="LFO5">
    <w:name w:val="LFO5"/>
    <w:qFormat/>
  </w:style>
  <w:style w:type="numbering" w:styleId="LFO6">
    <w:name w:val="LFO6"/>
    <w:qFormat/>
  </w:style>
  <w:style w:type="numbering" w:styleId="LFO7">
    <w:name w:val="LFO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LibreOffice/6.3.6.2$Windows_X86_64 LibreOffice_project/2196df99b074d8a661f4036fca8fa0cbfa33a497</Application>
  <Pages>5</Pages>
  <Words>429</Words>
  <CharactersWithSpaces>2875</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2021-02-05T06:58:00Z</dcterms:created>
  <dc:creator>李雅萍</dc:creator>
  <dc:description/>
  <dc:language>zh-TW</dc:language>
  <cp:lastModifiedBy>張麗慧</cp:lastModifiedBy>
  <cp:lastPrinted>2020-05-21T02:41:00Z</cp:lastPrinted>
  <dcterms:modified xsi:type="dcterms:W3CDTF">2021-02-05T06:58:00Z</dcterms:modified>
  <cp:revision>2</cp:revision>
  <dc:subject/>
  <dc:title>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
    <vt:lpwstr>FALSE</vt:lpwstr>
  </property>
</Properties>
</file>